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E3060" w14:textId="77777777" w:rsidR="00730FEE" w:rsidRPr="00312485" w:rsidRDefault="00730FEE" w:rsidP="00E25218">
      <w:pPr>
        <w:rPr>
          <w:rStyle w:val="Accentuat"/>
          <w:sz w:val="24"/>
          <w:szCs w:val="24"/>
          <w:lang w:val="ro-MD"/>
        </w:rPr>
      </w:pPr>
    </w:p>
    <w:p w14:paraId="7AE652E9" w14:textId="77777777" w:rsidR="00B53E1A" w:rsidRPr="00312485" w:rsidRDefault="00B53E1A" w:rsidP="00A1157C">
      <w:pPr>
        <w:ind w:firstLine="0"/>
        <w:jc w:val="center"/>
        <w:rPr>
          <w:b/>
          <w:sz w:val="28"/>
          <w:szCs w:val="24"/>
          <w:lang w:val="ro-MD"/>
        </w:rPr>
      </w:pPr>
      <w:r w:rsidRPr="00312485">
        <w:rPr>
          <w:b/>
          <w:sz w:val="28"/>
          <w:szCs w:val="24"/>
          <w:lang w:val="ro-MD"/>
        </w:rPr>
        <w:t xml:space="preserve">Cu privire la aprobarea Cadrului bugetar </w:t>
      </w:r>
    </w:p>
    <w:p w14:paraId="7107AD0D" w14:textId="2A5DF80D" w:rsidR="00B53E1A" w:rsidRPr="00312485" w:rsidRDefault="00B53E1A" w:rsidP="00A1157C">
      <w:pPr>
        <w:ind w:firstLine="0"/>
        <w:jc w:val="center"/>
        <w:rPr>
          <w:b/>
          <w:sz w:val="28"/>
          <w:szCs w:val="24"/>
          <w:lang w:val="ro-MD"/>
        </w:rPr>
      </w:pPr>
      <w:r w:rsidRPr="00312485">
        <w:rPr>
          <w:b/>
          <w:sz w:val="28"/>
          <w:szCs w:val="24"/>
          <w:lang w:val="ro-MD"/>
        </w:rPr>
        <w:t>pe termen mediu (202</w:t>
      </w:r>
      <w:r w:rsidR="000C4D57" w:rsidRPr="00312485">
        <w:rPr>
          <w:b/>
          <w:sz w:val="28"/>
          <w:szCs w:val="24"/>
          <w:lang w:val="ro-MD"/>
        </w:rPr>
        <w:t>6</w:t>
      </w:r>
      <w:r w:rsidRPr="00312485">
        <w:rPr>
          <w:b/>
          <w:sz w:val="28"/>
          <w:szCs w:val="24"/>
          <w:lang w:val="ro-MD"/>
        </w:rPr>
        <w:t>-202</w:t>
      </w:r>
      <w:r w:rsidR="000C4D57" w:rsidRPr="00312485">
        <w:rPr>
          <w:b/>
          <w:sz w:val="28"/>
          <w:szCs w:val="24"/>
          <w:lang w:val="ro-MD"/>
        </w:rPr>
        <w:t>8</w:t>
      </w:r>
      <w:r w:rsidRPr="00312485">
        <w:rPr>
          <w:b/>
          <w:sz w:val="28"/>
          <w:szCs w:val="24"/>
          <w:lang w:val="ro-MD"/>
        </w:rPr>
        <w:t>)</w:t>
      </w:r>
    </w:p>
    <w:p w14:paraId="7D46FA4B" w14:textId="77777777" w:rsidR="00730FEE" w:rsidRPr="00312485" w:rsidRDefault="00730FEE" w:rsidP="00A1157C">
      <w:pPr>
        <w:ind w:firstLine="0"/>
        <w:jc w:val="center"/>
        <w:rPr>
          <w:b/>
          <w:bCs/>
          <w:sz w:val="24"/>
          <w:szCs w:val="24"/>
          <w:lang w:val="ro-MD" w:eastAsia="ro-RO"/>
        </w:rPr>
      </w:pPr>
      <w:r w:rsidRPr="00312485">
        <w:rPr>
          <w:b/>
          <w:sz w:val="24"/>
          <w:szCs w:val="24"/>
          <w:lang w:val="ro-MD"/>
        </w:rPr>
        <w:t>------------------------------------------------------------</w:t>
      </w:r>
    </w:p>
    <w:p w14:paraId="26FD19CA" w14:textId="77777777" w:rsidR="00730FEE" w:rsidRPr="00312485" w:rsidRDefault="00730FEE" w:rsidP="00A1157C">
      <w:pPr>
        <w:rPr>
          <w:sz w:val="24"/>
          <w:szCs w:val="24"/>
          <w:lang w:val="ro-MD" w:eastAsia="ro-RO"/>
        </w:rPr>
      </w:pPr>
    </w:p>
    <w:p w14:paraId="56D32EAD" w14:textId="11679195" w:rsidR="00730FEE" w:rsidRPr="00312485" w:rsidRDefault="00B53E1A" w:rsidP="00A1157C">
      <w:pPr>
        <w:rPr>
          <w:sz w:val="28"/>
          <w:szCs w:val="24"/>
          <w:lang w:val="ro-MD"/>
        </w:rPr>
      </w:pPr>
      <w:r w:rsidRPr="00312485">
        <w:rPr>
          <w:sz w:val="28"/>
          <w:szCs w:val="24"/>
          <w:lang w:val="ro-MD"/>
        </w:rPr>
        <w:t xml:space="preserve">În temeiul art. 19 lit. d) din Legea finanțelor publice și responsabilității bugetar-fiscale nr. 181/2014 (Monitorul Oficial al Republicii Moldova, 2014, </w:t>
      </w:r>
      <w:r w:rsidR="00A1157C" w:rsidRPr="00312485">
        <w:rPr>
          <w:sz w:val="28"/>
          <w:szCs w:val="24"/>
          <w:lang w:val="ro-MD"/>
        </w:rPr>
        <w:br/>
      </w:r>
      <w:r w:rsidRPr="00312485">
        <w:rPr>
          <w:sz w:val="28"/>
          <w:szCs w:val="24"/>
          <w:lang w:val="ro-MD"/>
        </w:rPr>
        <w:t>nr.</w:t>
      </w:r>
      <w:r w:rsidR="00A1157C" w:rsidRPr="00312485">
        <w:rPr>
          <w:sz w:val="28"/>
          <w:szCs w:val="24"/>
          <w:lang w:val="ro-MD"/>
        </w:rPr>
        <w:t xml:space="preserve"> </w:t>
      </w:r>
      <w:r w:rsidRPr="00312485">
        <w:rPr>
          <w:sz w:val="28"/>
          <w:szCs w:val="24"/>
          <w:lang w:val="ro-MD"/>
        </w:rPr>
        <w:t>223-230, art.</w:t>
      </w:r>
      <w:r w:rsidR="00A1157C" w:rsidRPr="00312485">
        <w:rPr>
          <w:sz w:val="28"/>
          <w:szCs w:val="24"/>
          <w:lang w:val="ro-MD"/>
        </w:rPr>
        <w:t xml:space="preserve"> </w:t>
      </w:r>
      <w:r w:rsidRPr="00312485">
        <w:rPr>
          <w:sz w:val="28"/>
          <w:szCs w:val="24"/>
          <w:lang w:val="ro-MD"/>
        </w:rPr>
        <w:t xml:space="preserve">519), cu modificările ulterioare, </w:t>
      </w:r>
      <w:r w:rsidR="00730FEE" w:rsidRPr="00312485">
        <w:rPr>
          <w:sz w:val="28"/>
          <w:szCs w:val="24"/>
          <w:lang w:val="ro-MD"/>
        </w:rPr>
        <w:t>Guvernul HOTĂRĂȘTE:</w:t>
      </w:r>
    </w:p>
    <w:p w14:paraId="7EB289F2" w14:textId="77777777" w:rsidR="00730FEE" w:rsidRPr="00312485" w:rsidRDefault="00730FEE" w:rsidP="00A1157C">
      <w:pPr>
        <w:rPr>
          <w:sz w:val="28"/>
          <w:szCs w:val="24"/>
          <w:lang w:val="ro-MD"/>
        </w:rPr>
      </w:pPr>
    </w:p>
    <w:p w14:paraId="20EB0818" w14:textId="6519465B" w:rsidR="00B53E1A" w:rsidRPr="00312485" w:rsidRDefault="00B53E1A" w:rsidP="00A1157C">
      <w:pPr>
        <w:tabs>
          <w:tab w:val="left" w:pos="993"/>
        </w:tabs>
        <w:rPr>
          <w:sz w:val="28"/>
          <w:szCs w:val="24"/>
          <w:lang w:val="ro-MD" w:eastAsia="ru-RU"/>
        </w:rPr>
      </w:pPr>
      <w:r w:rsidRPr="00312485">
        <w:rPr>
          <w:b/>
          <w:bCs/>
          <w:sz w:val="28"/>
          <w:szCs w:val="24"/>
          <w:lang w:val="ro-MD" w:eastAsia="ru-RU"/>
        </w:rPr>
        <w:t>1.</w:t>
      </w:r>
      <w:r w:rsidRPr="00312485">
        <w:rPr>
          <w:b/>
          <w:bCs/>
          <w:sz w:val="28"/>
          <w:szCs w:val="24"/>
          <w:lang w:val="ro-MD" w:eastAsia="ru-RU"/>
        </w:rPr>
        <w:tab/>
      </w:r>
      <w:r w:rsidRPr="00312485">
        <w:rPr>
          <w:sz w:val="28"/>
          <w:szCs w:val="24"/>
          <w:lang w:val="ro-MD" w:eastAsia="ru-RU"/>
        </w:rPr>
        <w:t>Se aprobă Cadrul bugetar pe termen mediu (202</w:t>
      </w:r>
      <w:r w:rsidR="000C4D57" w:rsidRPr="00312485">
        <w:rPr>
          <w:sz w:val="28"/>
          <w:szCs w:val="24"/>
          <w:lang w:val="ro-MD" w:eastAsia="ru-RU"/>
        </w:rPr>
        <w:t>6</w:t>
      </w:r>
      <w:r w:rsidRPr="00312485">
        <w:rPr>
          <w:sz w:val="28"/>
          <w:szCs w:val="24"/>
          <w:lang w:val="ro-MD" w:eastAsia="ru-RU"/>
        </w:rPr>
        <w:t>-202</w:t>
      </w:r>
      <w:r w:rsidR="000C4D57" w:rsidRPr="00312485">
        <w:rPr>
          <w:sz w:val="28"/>
          <w:szCs w:val="24"/>
          <w:lang w:val="ro-MD" w:eastAsia="ru-RU"/>
        </w:rPr>
        <w:t>8</w:t>
      </w:r>
      <w:r w:rsidRPr="00312485">
        <w:rPr>
          <w:sz w:val="28"/>
          <w:szCs w:val="24"/>
          <w:lang w:val="ro-MD" w:eastAsia="ru-RU"/>
        </w:rPr>
        <w:t>) (se anexează).</w:t>
      </w:r>
    </w:p>
    <w:p w14:paraId="73A23850" w14:textId="77777777" w:rsidR="00B53E1A" w:rsidRPr="00312485" w:rsidRDefault="00B53E1A" w:rsidP="00A1157C">
      <w:pPr>
        <w:tabs>
          <w:tab w:val="left" w:pos="993"/>
        </w:tabs>
        <w:rPr>
          <w:sz w:val="28"/>
          <w:szCs w:val="24"/>
          <w:lang w:val="ro-MD" w:eastAsia="ru-RU"/>
        </w:rPr>
      </w:pPr>
    </w:p>
    <w:p w14:paraId="31574CB9" w14:textId="3B7AF043" w:rsidR="00B53E1A" w:rsidRPr="00312485" w:rsidRDefault="00B53E1A" w:rsidP="00A1157C">
      <w:pPr>
        <w:tabs>
          <w:tab w:val="left" w:pos="993"/>
        </w:tabs>
        <w:rPr>
          <w:sz w:val="28"/>
          <w:szCs w:val="24"/>
          <w:lang w:val="ro-MD" w:eastAsia="ru-RU"/>
        </w:rPr>
      </w:pPr>
      <w:r w:rsidRPr="00312485">
        <w:rPr>
          <w:b/>
          <w:bCs/>
          <w:sz w:val="28"/>
          <w:szCs w:val="24"/>
          <w:lang w:val="ro-MD" w:eastAsia="ru-RU"/>
        </w:rPr>
        <w:t>2.</w:t>
      </w:r>
      <w:r w:rsidRPr="00312485">
        <w:rPr>
          <w:sz w:val="28"/>
          <w:szCs w:val="24"/>
          <w:lang w:val="ro-MD" w:eastAsia="ru-RU"/>
        </w:rPr>
        <w:tab/>
        <w:t>Cadrul bugetar pe termen mediu (202</w:t>
      </w:r>
      <w:r w:rsidR="000C4D57" w:rsidRPr="00312485">
        <w:rPr>
          <w:sz w:val="28"/>
          <w:szCs w:val="24"/>
          <w:lang w:val="ro-MD" w:eastAsia="ru-RU"/>
        </w:rPr>
        <w:t>6</w:t>
      </w:r>
      <w:r w:rsidRPr="00312485">
        <w:rPr>
          <w:sz w:val="28"/>
          <w:szCs w:val="24"/>
          <w:lang w:val="ro-MD" w:eastAsia="ru-RU"/>
        </w:rPr>
        <w:t>-202</w:t>
      </w:r>
      <w:r w:rsidR="000C4D57" w:rsidRPr="00312485">
        <w:rPr>
          <w:sz w:val="28"/>
          <w:szCs w:val="24"/>
          <w:lang w:val="ro-MD" w:eastAsia="ru-RU"/>
        </w:rPr>
        <w:t>8</w:t>
      </w:r>
      <w:r w:rsidRPr="00312485">
        <w:rPr>
          <w:sz w:val="28"/>
          <w:szCs w:val="24"/>
          <w:lang w:val="ro-MD" w:eastAsia="ru-RU"/>
        </w:rPr>
        <w:t>) va servi organelor centrale de specialitate ale administrației publice și altor autorități administrative centrale ca suport la planificarea proiectului bugetului de stat pentru anul 202</w:t>
      </w:r>
      <w:r w:rsidR="000C4D57" w:rsidRPr="00312485">
        <w:rPr>
          <w:sz w:val="28"/>
          <w:szCs w:val="24"/>
          <w:lang w:val="ro-MD" w:eastAsia="ru-RU"/>
        </w:rPr>
        <w:t>6</w:t>
      </w:r>
      <w:r w:rsidRPr="00312485">
        <w:rPr>
          <w:sz w:val="28"/>
          <w:szCs w:val="24"/>
          <w:lang w:val="ro-MD" w:eastAsia="ru-RU"/>
        </w:rPr>
        <w:t>, iar autorităților administrației publice locale – la planificarea bugetelor locale și a programelor locale de dezvoltare a teritoriilor respective.</w:t>
      </w:r>
    </w:p>
    <w:p w14:paraId="7D273231" w14:textId="77777777" w:rsidR="00B53E1A" w:rsidRPr="00312485" w:rsidRDefault="00B53E1A" w:rsidP="00A1157C">
      <w:pPr>
        <w:tabs>
          <w:tab w:val="left" w:pos="993"/>
        </w:tabs>
        <w:rPr>
          <w:sz w:val="28"/>
          <w:szCs w:val="24"/>
          <w:lang w:val="ro-MD" w:eastAsia="ru-RU"/>
        </w:rPr>
      </w:pPr>
    </w:p>
    <w:p w14:paraId="63BD6B99" w14:textId="77777777" w:rsidR="00B53E1A" w:rsidRPr="00312485" w:rsidRDefault="00B53E1A" w:rsidP="00A1157C">
      <w:pPr>
        <w:rPr>
          <w:sz w:val="28"/>
          <w:szCs w:val="24"/>
          <w:lang w:val="ro-MD" w:eastAsia="ru-RU"/>
        </w:rPr>
      </w:pPr>
      <w:r w:rsidRPr="00312485">
        <w:rPr>
          <w:b/>
          <w:bCs/>
          <w:sz w:val="28"/>
          <w:szCs w:val="24"/>
          <w:lang w:val="ro-MD" w:eastAsia="ru-RU"/>
        </w:rPr>
        <w:t xml:space="preserve">3. </w:t>
      </w:r>
      <w:r w:rsidRPr="00312485">
        <w:rPr>
          <w:sz w:val="28"/>
          <w:szCs w:val="24"/>
          <w:lang w:val="ro-MD" w:eastAsia="ru-RU"/>
        </w:rPr>
        <w:t xml:space="preserve">Prezenta hotărâre intră în vigoare la data publicării </w:t>
      </w:r>
      <w:r w:rsidRPr="00312485">
        <w:rPr>
          <w:sz w:val="28"/>
          <w:szCs w:val="24"/>
          <w:lang w:val="ro-MD" w:eastAsia="ro-RO"/>
        </w:rPr>
        <w:t>în Monitorul Oficial al Republicii Moldova</w:t>
      </w:r>
      <w:r w:rsidRPr="00312485">
        <w:rPr>
          <w:sz w:val="28"/>
          <w:szCs w:val="24"/>
          <w:lang w:val="ro-MD" w:eastAsia="ru-RU"/>
        </w:rPr>
        <w:t>.</w:t>
      </w:r>
    </w:p>
    <w:p w14:paraId="4C0599C9" w14:textId="77777777" w:rsidR="00730FEE" w:rsidRPr="00312485" w:rsidRDefault="00730FEE" w:rsidP="00A1157C">
      <w:pPr>
        <w:rPr>
          <w:sz w:val="24"/>
          <w:szCs w:val="24"/>
          <w:lang w:val="ro-MD" w:eastAsia="ro-RO"/>
        </w:rPr>
      </w:pPr>
    </w:p>
    <w:p w14:paraId="0DE97ECD" w14:textId="38021EAB" w:rsidR="00730FEE" w:rsidRPr="00312485" w:rsidRDefault="00730FEE" w:rsidP="00E25218">
      <w:pPr>
        <w:rPr>
          <w:sz w:val="24"/>
          <w:szCs w:val="24"/>
          <w:lang w:val="ro-MD" w:eastAsia="ro-RO"/>
        </w:rPr>
      </w:pPr>
    </w:p>
    <w:p w14:paraId="445F6162" w14:textId="77777777" w:rsidR="00F85AA5" w:rsidRPr="00312485" w:rsidRDefault="00F85AA5" w:rsidP="00E25218">
      <w:pPr>
        <w:rPr>
          <w:sz w:val="24"/>
          <w:szCs w:val="24"/>
          <w:lang w:val="ro-MD" w:eastAsia="ro-RO"/>
        </w:rPr>
      </w:pPr>
    </w:p>
    <w:p w14:paraId="3DCB3696" w14:textId="3A9454A6" w:rsidR="003B04ED" w:rsidRPr="00312485" w:rsidRDefault="003B04ED" w:rsidP="007551A5">
      <w:pPr>
        <w:rPr>
          <w:sz w:val="28"/>
          <w:szCs w:val="24"/>
          <w:lang w:val="ro-MD" w:eastAsia="ro-RO"/>
        </w:rPr>
      </w:pPr>
      <w:r w:rsidRPr="00312485">
        <w:rPr>
          <w:b/>
          <w:sz w:val="28"/>
          <w:szCs w:val="24"/>
          <w:lang w:val="ro-MD" w:eastAsia="ro-RO"/>
        </w:rPr>
        <w:t>Prim-ministru</w:t>
      </w:r>
      <w:r w:rsidR="005262C2" w:rsidRPr="00312485">
        <w:rPr>
          <w:b/>
          <w:sz w:val="28"/>
          <w:szCs w:val="24"/>
          <w:lang w:val="ro-MD" w:eastAsia="ro-RO"/>
        </w:rPr>
        <w:tab/>
      </w:r>
      <w:r w:rsidR="005262C2" w:rsidRPr="00312485">
        <w:rPr>
          <w:b/>
          <w:sz w:val="28"/>
          <w:szCs w:val="24"/>
          <w:lang w:val="ro-MD" w:eastAsia="ro-RO"/>
        </w:rPr>
        <w:tab/>
      </w:r>
      <w:r w:rsidR="005262C2" w:rsidRPr="00312485">
        <w:rPr>
          <w:b/>
          <w:sz w:val="28"/>
          <w:szCs w:val="24"/>
          <w:lang w:val="ro-MD" w:eastAsia="ro-RO"/>
        </w:rPr>
        <w:tab/>
      </w:r>
      <w:r w:rsidR="005262C2" w:rsidRPr="00312485">
        <w:rPr>
          <w:b/>
          <w:sz w:val="28"/>
          <w:szCs w:val="24"/>
          <w:lang w:val="ro-MD" w:eastAsia="ro-RO"/>
        </w:rPr>
        <w:tab/>
      </w:r>
      <w:r w:rsidR="005262C2" w:rsidRPr="00312485">
        <w:rPr>
          <w:b/>
          <w:sz w:val="28"/>
          <w:szCs w:val="24"/>
          <w:lang w:val="ro-MD" w:eastAsia="ro-RO"/>
        </w:rPr>
        <w:tab/>
      </w:r>
      <w:r w:rsidR="00D8311D" w:rsidRPr="00312485">
        <w:rPr>
          <w:b/>
          <w:sz w:val="28"/>
          <w:szCs w:val="24"/>
          <w:lang w:val="ro-MD" w:eastAsia="ro-RO"/>
        </w:rPr>
        <w:t>DORIN RECEAN</w:t>
      </w:r>
    </w:p>
    <w:p w14:paraId="37F9E824" w14:textId="77777777" w:rsidR="0029400E" w:rsidRPr="00312485" w:rsidRDefault="0029400E" w:rsidP="00E25218">
      <w:pPr>
        <w:rPr>
          <w:sz w:val="28"/>
          <w:szCs w:val="24"/>
          <w:lang w:val="ro-MD" w:eastAsia="ro-RO"/>
        </w:rPr>
      </w:pPr>
    </w:p>
    <w:p w14:paraId="1E36A6DB" w14:textId="77777777" w:rsidR="00DF7E3E" w:rsidRPr="00312485" w:rsidRDefault="00DF7E3E" w:rsidP="00E25218">
      <w:pPr>
        <w:rPr>
          <w:sz w:val="28"/>
          <w:szCs w:val="24"/>
          <w:lang w:val="ro-MD" w:eastAsia="ro-RO"/>
        </w:rPr>
      </w:pPr>
    </w:p>
    <w:p w14:paraId="094B8A25" w14:textId="1E076EE9" w:rsidR="003A4AE6" w:rsidRPr="00312485" w:rsidRDefault="003A4AE6" w:rsidP="007A2971">
      <w:pPr>
        <w:tabs>
          <w:tab w:val="left" w:pos="5954"/>
        </w:tabs>
        <w:rPr>
          <w:sz w:val="28"/>
          <w:szCs w:val="24"/>
          <w:lang w:val="ro-MD" w:eastAsia="ro-RO"/>
        </w:rPr>
      </w:pPr>
      <w:r w:rsidRPr="00312485">
        <w:rPr>
          <w:sz w:val="28"/>
          <w:szCs w:val="24"/>
          <w:lang w:val="ro-MD" w:eastAsia="ro-RO"/>
        </w:rPr>
        <w:t>Contrasemnează:</w:t>
      </w:r>
    </w:p>
    <w:p w14:paraId="31FF517C" w14:textId="06148E85" w:rsidR="003A4AE6" w:rsidRPr="00312485" w:rsidRDefault="003A4AE6" w:rsidP="00E25218">
      <w:pPr>
        <w:rPr>
          <w:sz w:val="28"/>
          <w:szCs w:val="24"/>
          <w:lang w:val="ro-MD" w:eastAsia="ro-RO"/>
        </w:rPr>
      </w:pPr>
    </w:p>
    <w:p w14:paraId="5DAC2E20" w14:textId="77777777" w:rsidR="0025392F" w:rsidRPr="00312485" w:rsidRDefault="0025392F" w:rsidP="00E25218">
      <w:pPr>
        <w:rPr>
          <w:sz w:val="28"/>
          <w:szCs w:val="24"/>
          <w:lang w:val="ro-MD" w:eastAsia="ro-RO"/>
        </w:rPr>
      </w:pPr>
    </w:p>
    <w:p w14:paraId="706AFB05" w14:textId="0A15AEA4" w:rsidR="00B16328" w:rsidRPr="00312485" w:rsidRDefault="00B16328" w:rsidP="00FD2A3E">
      <w:pPr>
        <w:tabs>
          <w:tab w:val="left" w:pos="5812"/>
          <w:tab w:val="left" w:pos="5954"/>
        </w:tabs>
        <w:rPr>
          <w:sz w:val="28"/>
          <w:szCs w:val="24"/>
          <w:lang w:val="ro-MD" w:eastAsia="ru-RU"/>
        </w:rPr>
      </w:pPr>
      <w:r w:rsidRPr="00924D20">
        <w:rPr>
          <w:b/>
          <w:sz w:val="28"/>
          <w:szCs w:val="24"/>
          <w:lang w:val="ro-MD" w:eastAsia="ru-RU"/>
        </w:rPr>
        <w:t>Ministr</w:t>
      </w:r>
      <w:r w:rsidR="004E6171">
        <w:rPr>
          <w:b/>
          <w:sz w:val="28"/>
          <w:szCs w:val="24"/>
          <w:lang w:val="ro-MD" w:eastAsia="ru-RU"/>
        </w:rPr>
        <w:t>ul</w:t>
      </w:r>
      <w:r w:rsidRPr="00924D20">
        <w:rPr>
          <w:b/>
          <w:sz w:val="28"/>
          <w:szCs w:val="24"/>
          <w:lang w:val="ro-MD" w:eastAsia="ru-RU"/>
        </w:rPr>
        <w:t xml:space="preserve"> finanțelor</w:t>
      </w:r>
      <w:r w:rsidR="005262C2" w:rsidRPr="00312485">
        <w:rPr>
          <w:sz w:val="28"/>
          <w:szCs w:val="24"/>
          <w:lang w:val="ro-MD" w:eastAsia="ru-RU"/>
        </w:rPr>
        <w:tab/>
      </w:r>
      <w:r w:rsidR="008168F4" w:rsidRPr="00312485">
        <w:rPr>
          <w:b/>
          <w:sz w:val="28"/>
          <w:szCs w:val="24"/>
          <w:lang w:val="ro-MD" w:eastAsia="ru-RU"/>
        </w:rPr>
        <w:t xml:space="preserve">Victoria </w:t>
      </w:r>
      <w:r w:rsidR="00F040D2" w:rsidRPr="00312485">
        <w:rPr>
          <w:b/>
          <w:sz w:val="28"/>
          <w:szCs w:val="24"/>
          <w:lang w:val="ro-MD" w:eastAsia="ru-RU"/>
        </w:rPr>
        <w:t>BELOUS</w:t>
      </w:r>
    </w:p>
    <w:p w14:paraId="60964486" w14:textId="77777777" w:rsidR="00B16328" w:rsidRPr="00312485" w:rsidRDefault="00B16328" w:rsidP="00E25218">
      <w:pPr>
        <w:rPr>
          <w:sz w:val="24"/>
          <w:szCs w:val="24"/>
          <w:lang w:val="ro-MD" w:eastAsia="ru-RU"/>
        </w:rPr>
      </w:pPr>
    </w:p>
    <w:p w14:paraId="001BAD66" w14:textId="77777777" w:rsidR="00965406" w:rsidRPr="00312485" w:rsidRDefault="00965406" w:rsidP="00965406">
      <w:pPr>
        <w:rPr>
          <w:sz w:val="24"/>
          <w:szCs w:val="24"/>
          <w:lang w:val="ro-MD" w:eastAsia="ru-RU"/>
        </w:rPr>
      </w:pPr>
    </w:p>
    <w:p w14:paraId="0CA22C5C" w14:textId="77777777" w:rsidR="006B17C6" w:rsidRPr="00312485" w:rsidRDefault="006B17C6" w:rsidP="00E25218">
      <w:pPr>
        <w:rPr>
          <w:sz w:val="24"/>
          <w:szCs w:val="24"/>
          <w:lang w:val="ro-MD" w:eastAsia="ru-RU"/>
        </w:rPr>
      </w:pPr>
    </w:p>
    <w:p w14:paraId="448C6AF6" w14:textId="77777777" w:rsidR="006B17C6" w:rsidRPr="00312485" w:rsidRDefault="006B17C6" w:rsidP="00E25218">
      <w:pPr>
        <w:rPr>
          <w:sz w:val="24"/>
          <w:szCs w:val="24"/>
          <w:lang w:val="ro-MD" w:eastAsia="ru-RU"/>
        </w:rPr>
      </w:pPr>
    </w:p>
    <w:p w14:paraId="750AE604" w14:textId="77777777" w:rsidR="00A1157C" w:rsidRPr="00312485" w:rsidRDefault="00A1157C" w:rsidP="00E25218">
      <w:pPr>
        <w:rPr>
          <w:sz w:val="24"/>
          <w:szCs w:val="24"/>
          <w:lang w:val="ro-MD" w:eastAsia="ru-RU"/>
        </w:rPr>
      </w:pPr>
    </w:p>
    <w:p w14:paraId="56A0E5BA" w14:textId="77777777" w:rsidR="009C717D" w:rsidRPr="00312485" w:rsidRDefault="009C717D" w:rsidP="00CD5399">
      <w:pPr>
        <w:pageBreakBefore/>
        <w:ind w:firstLine="0"/>
        <w:rPr>
          <w:sz w:val="28"/>
          <w:szCs w:val="24"/>
          <w:lang w:val="ro-MD" w:eastAsia="ru-RU"/>
        </w:rPr>
      </w:pPr>
      <w:r w:rsidRPr="00312485">
        <w:rPr>
          <w:sz w:val="28"/>
          <w:szCs w:val="24"/>
          <w:lang w:val="ro-MD" w:eastAsia="ru-RU"/>
        </w:rPr>
        <w:lastRenderedPageBreak/>
        <w:t>Vizează:</w:t>
      </w:r>
    </w:p>
    <w:p w14:paraId="2BC2BB54" w14:textId="77777777" w:rsidR="009C717D" w:rsidRPr="00312485" w:rsidRDefault="009C717D" w:rsidP="009C717D">
      <w:pPr>
        <w:ind w:firstLine="0"/>
        <w:rPr>
          <w:sz w:val="28"/>
          <w:szCs w:val="24"/>
          <w:lang w:val="ro-MD" w:eastAsia="ru-RU"/>
        </w:rPr>
      </w:pPr>
    </w:p>
    <w:p w14:paraId="68994E1E" w14:textId="2440ADD4" w:rsidR="009C717D" w:rsidRPr="00312485" w:rsidRDefault="009C717D" w:rsidP="009C717D">
      <w:pPr>
        <w:ind w:firstLine="0"/>
        <w:rPr>
          <w:sz w:val="28"/>
          <w:szCs w:val="24"/>
          <w:lang w:val="ro-MD" w:eastAsia="ru-RU"/>
        </w:rPr>
      </w:pPr>
      <w:r w:rsidRPr="00312485">
        <w:rPr>
          <w:sz w:val="28"/>
          <w:szCs w:val="24"/>
          <w:lang w:val="ro-MD" w:eastAsia="ru-RU"/>
        </w:rPr>
        <w:t>Secretar general al Guvernului</w:t>
      </w:r>
      <w:r w:rsidRPr="00312485">
        <w:rPr>
          <w:sz w:val="28"/>
          <w:szCs w:val="24"/>
          <w:lang w:val="ro-MD" w:eastAsia="ru-RU"/>
        </w:rPr>
        <w:tab/>
      </w:r>
      <w:r w:rsidRPr="00312485">
        <w:rPr>
          <w:sz w:val="28"/>
          <w:szCs w:val="24"/>
          <w:lang w:val="ro-MD" w:eastAsia="ru-RU"/>
        </w:rPr>
        <w:tab/>
      </w:r>
      <w:r w:rsidRPr="00312485">
        <w:rPr>
          <w:sz w:val="28"/>
          <w:szCs w:val="24"/>
          <w:lang w:val="ro-MD" w:eastAsia="ru-RU"/>
        </w:rPr>
        <w:tab/>
        <w:t xml:space="preserve">               </w:t>
      </w:r>
      <w:r w:rsidRPr="00312485">
        <w:rPr>
          <w:sz w:val="28"/>
          <w:szCs w:val="24"/>
          <w:lang w:val="ro-MD" w:eastAsia="ru-RU"/>
        </w:rPr>
        <w:tab/>
        <w:t xml:space="preserve">  Artur MIJA</w:t>
      </w:r>
    </w:p>
    <w:p w14:paraId="5C56D579" w14:textId="77777777" w:rsidR="009C717D" w:rsidRPr="00312485" w:rsidRDefault="009C717D" w:rsidP="009C717D">
      <w:pPr>
        <w:ind w:firstLine="0"/>
        <w:rPr>
          <w:sz w:val="28"/>
          <w:szCs w:val="24"/>
          <w:lang w:val="ro-MD" w:eastAsia="ru-RU"/>
        </w:rPr>
      </w:pPr>
    </w:p>
    <w:p w14:paraId="0A487779" w14:textId="77777777" w:rsidR="009C717D" w:rsidRPr="00312485" w:rsidRDefault="009C717D" w:rsidP="009C717D">
      <w:pPr>
        <w:ind w:firstLine="0"/>
        <w:rPr>
          <w:sz w:val="28"/>
          <w:szCs w:val="24"/>
          <w:lang w:val="ro-MD" w:eastAsia="ru-RU"/>
        </w:rPr>
      </w:pPr>
    </w:p>
    <w:p w14:paraId="191C21BE" w14:textId="77777777" w:rsidR="009C717D" w:rsidRPr="00312485" w:rsidRDefault="009C717D" w:rsidP="009C717D">
      <w:pPr>
        <w:ind w:firstLine="0"/>
        <w:rPr>
          <w:sz w:val="28"/>
          <w:szCs w:val="24"/>
          <w:lang w:val="ro-MD" w:eastAsia="ru-RU"/>
        </w:rPr>
      </w:pPr>
    </w:p>
    <w:p w14:paraId="6747461F" w14:textId="7CE3FA75" w:rsidR="009C717D" w:rsidRPr="00312485" w:rsidRDefault="009C717D" w:rsidP="009C717D">
      <w:pPr>
        <w:ind w:firstLine="0"/>
        <w:rPr>
          <w:sz w:val="28"/>
          <w:szCs w:val="24"/>
          <w:lang w:val="ro-MD" w:eastAsia="ru-RU"/>
        </w:rPr>
      </w:pPr>
    </w:p>
    <w:p w14:paraId="510C5024" w14:textId="77777777" w:rsidR="000C4D57" w:rsidRPr="00312485" w:rsidRDefault="000C4D57" w:rsidP="009C717D">
      <w:pPr>
        <w:ind w:firstLine="0"/>
        <w:rPr>
          <w:sz w:val="28"/>
          <w:szCs w:val="24"/>
          <w:lang w:val="ro-MD" w:eastAsia="ru-RU"/>
        </w:rPr>
      </w:pPr>
    </w:p>
    <w:p w14:paraId="37A92DFC" w14:textId="77777777" w:rsidR="000C4D57" w:rsidRPr="00312485" w:rsidRDefault="000C4D57" w:rsidP="000C4D57">
      <w:pPr>
        <w:spacing w:line="276" w:lineRule="auto"/>
        <w:ind w:firstLine="0"/>
        <w:rPr>
          <w:sz w:val="28"/>
          <w:szCs w:val="24"/>
          <w:lang w:val="ro-MD" w:eastAsia="ru-RU"/>
        </w:rPr>
      </w:pPr>
      <w:r w:rsidRPr="00312485">
        <w:rPr>
          <w:sz w:val="28"/>
          <w:szCs w:val="24"/>
          <w:lang w:val="ro-MD" w:eastAsia="ru-RU"/>
        </w:rPr>
        <w:t>Aprobată în ședința Guvernului</w:t>
      </w:r>
    </w:p>
    <w:p w14:paraId="7055E85F" w14:textId="1D03ECBE" w:rsidR="000C4D57" w:rsidRPr="00312485" w:rsidRDefault="000C4D57" w:rsidP="000C4D57">
      <w:pPr>
        <w:spacing w:line="276" w:lineRule="auto"/>
        <w:ind w:firstLine="0"/>
        <w:rPr>
          <w:sz w:val="28"/>
          <w:szCs w:val="24"/>
          <w:lang w:val="ro-MD" w:eastAsia="ru-RU"/>
        </w:rPr>
      </w:pPr>
      <w:r w:rsidRPr="00312485">
        <w:rPr>
          <w:sz w:val="28"/>
          <w:szCs w:val="24"/>
          <w:lang w:val="ro-MD" w:eastAsia="ru-RU"/>
        </w:rPr>
        <w:t>din</w:t>
      </w:r>
      <w:r w:rsidRPr="00312485">
        <w:rPr>
          <w:sz w:val="28"/>
          <w:szCs w:val="24"/>
          <w:lang w:val="ro-MD" w:eastAsia="ru-RU"/>
        </w:rPr>
        <w:tab/>
        <w:t xml:space="preserve">________________2025                    </w:t>
      </w:r>
    </w:p>
    <w:p w14:paraId="0BBB79ED" w14:textId="77777777" w:rsidR="00730FEE" w:rsidRPr="00312485" w:rsidRDefault="00730FEE" w:rsidP="00E25218">
      <w:pPr>
        <w:tabs>
          <w:tab w:val="left" w:pos="6386"/>
        </w:tabs>
        <w:rPr>
          <w:sz w:val="24"/>
          <w:szCs w:val="24"/>
          <w:lang w:val="ro-MD" w:eastAsia="ru-RU"/>
        </w:rPr>
      </w:pPr>
    </w:p>
    <w:p w14:paraId="461BAF5A" w14:textId="066FA659" w:rsidR="0086725C" w:rsidRPr="00312485" w:rsidRDefault="0086725C" w:rsidP="00791786">
      <w:pPr>
        <w:ind w:firstLine="0"/>
        <w:rPr>
          <w:sz w:val="24"/>
          <w:szCs w:val="24"/>
          <w:lang w:val="ro-MD" w:eastAsia="ru-RU"/>
        </w:rPr>
      </w:pPr>
    </w:p>
    <w:p w14:paraId="1EC82775" w14:textId="77777777" w:rsidR="00796D16" w:rsidRPr="00312485" w:rsidRDefault="00796D16" w:rsidP="00796D16">
      <w:pPr>
        <w:pageBreakBefore/>
        <w:ind w:firstLine="567"/>
        <w:jc w:val="right"/>
        <w:rPr>
          <w:sz w:val="28"/>
          <w:szCs w:val="24"/>
          <w:lang w:val="ro-MD"/>
        </w:rPr>
      </w:pPr>
      <w:r w:rsidRPr="00312485">
        <w:rPr>
          <w:sz w:val="28"/>
          <w:szCs w:val="24"/>
          <w:lang w:val="ro-MD"/>
        </w:rPr>
        <w:lastRenderedPageBreak/>
        <w:t xml:space="preserve">Aprobat </w:t>
      </w:r>
    </w:p>
    <w:p w14:paraId="7F9E74EA" w14:textId="77777777" w:rsidR="00796D16" w:rsidRPr="00312485" w:rsidRDefault="00796D16" w:rsidP="00796D16">
      <w:pPr>
        <w:ind w:firstLine="567"/>
        <w:jc w:val="right"/>
        <w:rPr>
          <w:sz w:val="28"/>
          <w:szCs w:val="24"/>
          <w:lang w:val="ro-MD"/>
        </w:rPr>
      </w:pPr>
      <w:r w:rsidRPr="00312485">
        <w:rPr>
          <w:sz w:val="28"/>
          <w:szCs w:val="24"/>
          <w:lang w:val="ro-MD"/>
        </w:rPr>
        <w:t xml:space="preserve">prin Hotărârea Guvernului nr.        /2025 </w:t>
      </w:r>
    </w:p>
    <w:p w14:paraId="7CF824CC" w14:textId="77777777" w:rsidR="00796D16" w:rsidRPr="00312485" w:rsidRDefault="00796D16" w:rsidP="00796D16">
      <w:pPr>
        <w:ind w:firstLine="567"/>
        <w:rPr>
          <w:sz w:val="28"/>
          <w:szCs w:val="24"/>
          <w:lang w:val="ro-MD"/>
        </w:rPr>
      </w:pPr>
    </w:p>
    <w:p w14:paraId="56A8A69C" w14:textId="77777777" w:rsidR="00796D16" w:rsidRPr="00312485" w:rsidRDefault="00796D16" w:rsidP="00796D16">
      <w:pPr>
        <w:ind w:firstLine="567"/>
        <w:jc w:val="center"/>
        <w:rPr>
          <w:b/>
          <w:sz w:val="28"/>
          <w:szCs w:val="24"/>
          <w:lang w:val="ro-MD"/>
        </w:rPr>
      </w:pPr>
      <w:r w:rsidRPr="00312485">
        <w:rPr>
          <w:b/>
          <w:sz w:val="28"/>
          <w:szCs w:val="24"/>
          <w:lang w:val="ro-MD"/>
        </w:rPr>
        <w:t xml:space="preserve">CADRUL BUGETAR PE TERMEN MEDIU </w:t>
      </w:r>
    </w:p>
    <w:p w14:paraId="1F0C9C4B" w14:textId="77777777" w:rsidR="00796D16" w:rsidRPr="00312485" w:rsidRDefault="00796D16" w:rsidP="00796D16">
      <w:pPr>
        <w:ind w:firstLine="567"/>
        <w:jc w:val="center"/>
        <w:rPr>
          <w:b/>
          <w:sz w:val="28"/>
          <w:szCs w:val="24"/>
          <w:lang w:val="ro-MD"/>
        </w:rPr>
      </w:pPr>
      <w:r w:rsidRPr="00312485">
        <w:rPr>
          <w:b/>
          <w:sz w:val="28"/>
          <w:szCs w:val="24"/>
          <w:lang w:val="ro-MD"/>
        </w:rPr>
        <w:t>2026-2028</w:t>
      </w:r>
    </w:p>
    <w:p w14:paraId="41D4B91F" w14:textId="77777777" w:rsidR="00796D16" w:rsidRPr="00312485" w:rsidRDefault="00796D16" w:rsidP="00796D16">
      <w:pPr>
        <w:ind w:firstLine="567"/>
        <w:rPr>
          <w:sz w:val="24"/>
          <w:szCs w:val="24"/>
          <w:lang w:val="ro-MD"/>
        </w:rPr>
      </w:pPr>
    </w:p>
    <w:p w14:paraId="18CEA5DE" w14:textId="62968D2A" w:rsidR="00796D16" w:rsidRPr="00312485" w:rsidRDefault="00C05D1A" w:rsidP="00BF666C">
      <w:pPr>
        <w:shd w:val="clear" w:color="auto" w:fill="DBE5F1" w:themeFill="accent1" w:themeFillTint="33"/>
        <w:tabs>
          <w:tab w:val="center" w:pos="4848"/>
          <w:tab w:val="left" w:pos="7515"/>
        </w:tabs>
        <w:ind w:firstLine="0"/>
        <w:jc w:val="left"/>
        <w:rPr>
          <w:b/>
          <w:sz w:val="24"/>
          <w:szCs w:val="24"/>
          <w:lang w:val="ro-MD"/>
        </w:rPr>
      </w:pPr>
      <w:r w:rsidRPr="00312485">
        <w:rPr>
          <w:b/>
          <w:sz w:val="24"/>
          <w:szCs w:val="24"/>
          <w:lang w:val="ro-MD"/>
        </w:rPr>
        <w:tab/>
      </w:r>
      <w:r w:rsidR="00796D16" w:rsidRPr="00312485">
        <w:rPr>
          <w:b/>
          <w:sz w:val="24"/>
          <w:szCs w:val="24"/>
          <w:lang w:val="ro-MD"/>
        </w:rPr>
        <w:t>I. PREZENTARE GENERALĂ</w:t>
      </w:r>
      <w:r w:rsidRPr="00312485">
        <w:rPr>
          <w:b/>
          <w:sz w:val="24"/>
          <w:szCs w:val="24"/>
          <w:lang w:val="ro-MD"/>
        </w:rPr>
        <w:tab/>
      </w:r>
    </w:p>
    <w:p w14:paraId="4ABDF3B0" w14:textId="77777777" w:rsidR="00796D16" w:rsidRPr="00312485" w:rsidRDefault="00796D16" w:rsidP="00796D16">
      <w:pPr>
        <w:jc w:val="center"/>
        <w:rPr>
          <w:b/>
          <w:sz w:val="24"/>
          <w:szCs w:val="24"/>
          <w:lang w:val="ro-MD"/>
        </w:rPr>
      </w:pPr>
    </w:p>
    <w:p w14:paraId="05B58996" w14:textId="2D5A4876" w:rsidR="00796D16" w:rsidRPr="00312485" w:rsidRDefault="00796D16" w:rsidP="00BF666C">
      <w:pPr>
        <w:ind w:firstLine="0"/>
        <w:jc w:val="center"/>
        <w:rPr>
          <w:b/>
          <w:bCs/>
          <w:sz w:val="24"/>
          <w:szCs w:val="24"/>
          <w:lang w:val="ro-MD"/>
        </w:rPr>
      </w:pPr>
      <w:r w:rsidRPr="00312485">
        <w:rPr>
          <w:b/>
          <w:sz w:val="24"/>
          <w:szCs w:val="24"/>
          <w:lang w:val="ro-MD"/>
        </w:rPr>
        <w:t xml:space="preserve"> Introducere</w:t>
      </w:r>
    </w:p>
    <w:p w14:paraId="206BF5F8" w14:textId="77777777" w:rsidR="00796D16" w:rsidRPr="00312485" w:rsidRDefault="00796D16" w:rsidP="00796D16">
      <w:pPr>
        <w:rPr>
          <w:sz w:val="24"/>
          <w:szCs w:val="24"/>
          <w:lang w:val="ro-MD"/>
        </w:rPr>
      </w:pPr>
    </w:p>
    <w:p w14:paraId="68C7E097" w14:textId="220CB7E3" w:rsidR="00796D16" w:rsidRPr="00312485" w:rsidRDefault="00796D16" w:rsidP="00796D16">
      <w:pPr>
        <w:ind w:firstLine="708"/>
        <w:rPr>
          <w:sz w:val="24"/>
          <w:szCs w:val="24"/>
          <w:lang w:val="ro-MD"/>
        </w:rPr>
      </w:pPr>
      <w:r w:rsidRPr="00312485">
        <w:rPr>
          <w:sz w:val="24"/>
          <w:szCs w:val="24"/>
          <w:lang w:val="ro-MD"/>
        </w:rPr>
        <w:t xml:space="preserve">Cadrul </w:t>
      </w:r>
      <w:r w:rsidR="001D192A" w:rsidRPr="00312485">
        <w:rPr>
          <w:sz w:val="24"/>
          <w:szCs w:val="24"/>
          <w:lang w:val="ro-MD"/>
        </w:rPr>
        <w:t>b</w:t>
      </w:r>
      <w:r w:rsidRPr="00312485">
        <w:rPr>
          <w:sz w:val="24"/>
          <w:szCs w:val="24"/>
          <w:lang w:val="ro-MD"/>
        </w:rPr>
        <w:t xml:space="preserve">ugetar pe </w:t>
      </w:r>
      <w:r w:rsidR="001D192A" w:rsidRPr="00312485">
        <w:rPr>
          <w:sz w:val="24"/>
          <w:szCs w:val="24"/>
          <w:lang w:val="ro-MD"/>
        </w:rPr>
        <w:t>t</w:t>
      </w:r>
      <w:r w:rsidRPr="00312485">
        <w:rPr>
          <w:sz w:val="24"/>
          <w:szCs w:val="24"/>
          <w:lang w:val="ro-MD"/>
        </w:rPr>
        <w:t xml:space="preserve">ermen </w:t>
      </w:r>
      <w:r w:rsidR="001D192A" w:rsidRPr="00312485">
        <w:rPr>
          <w:sz w:val="24"/>
          <w:szCs w:val="24"/>
          <w:lang w:val="ro-MD"/>
        </w:rPr>
        <w:t>m</w:t>
      </w:r>
      <w:r w:rsidRPr="00312485">
        <w:rPr>
          <w:sz w:val="24"/>
          <w:szCs w:val="24"/>
          <w:lang w:val="ro-MD"/>
        </w:rPr>
        <w:t>ediu 2026-2028 (în continuare -  CBTM 2026-2028) reprezintă un instrument esențial de planificare a finanțelor publice, care oferă o viziune asupra priorităților bugetar-fiscale ale Guvernului pentru următorii trei ani. Documentul are ca scop fundamentarea deciziilor bugetar-fiscale pe termen mediu, contribuind la menținerea unui echilibru sustenabil între obiectivele de dezvoltare ale țării și resursele financiare disponibile.</w:t>
      </w:r>
    </w:p>
    <w:p w14:paraId="56FFF538" w14:textId="0ABC2863" w:rsidR="00796D16" w:rsidRPr="00312485" w:rsidRDefault="00796D16" w:rsidP="00796D16">
      <w:pPr>
        <w:pStyle w:val="NormalWeb"/>
        <w:ind w:firstLine="708"/>
        <w:rPr>
          <w:lang w:val="ro-MD"/>
        </w:rPr>
      </w:pPr>
      <w:r w:rsidRPr="00312485">
        <w:rPr>
          <w:lang w:val="ro-MD"/>
        </w:rPr>
        <w:t>Elaborarea CBTM 2026</w:t>
      </w:r>
      <w:r w:rsidR="001D192A" w:rsidRPr="00312485">
        <w:rPr>
          <w:lang w:val="ro-MD"/>
        </w:rPr>
        <w:t>-</w:t>
      </w:r>
      <w:r w:rsidRPr="00312485">
        <w:rPr>
          <w:lang w:val="ro-MD"/>
        </w:rPr>
        <w:t xml:space="preserve">2028 răspunde necesității </w:t>
      </w:r>
      <w:r w:rsidR="000C68E7" w:rsidRPr="00312485">
        <w:rPr>
          <w:lang w:val="ro-MD"/>
        </w:rPr>
        <w:t>de c</w:t>
      </w:r>
      <w:r w:rsidRPr="00312485">
        <w:rPr>
          <w:lang w:val="ro-MD"/>
        </w:rPr>
        <w:t>onsolid</w:t>
      </w:r>
      <w:r w:rsidR="000C68E7" w:rsidRPr="00312485">
        <w:rPr>
          <w:lang w:val="ro-MD"/>
        </w:rPr>
        <w:t xml:space="preserve">are a </w:t>
      </w:r>
      <w:r w:rsidRPr="00312485">
        <w:rPr>
          <w:lang w:val="ro-MD"/>
        </w:rPr>
        <w:t xml:space="preserve">disciplinei bugetare, creșterii gradului de predictibilitate a procesului bugetar și alinierii politicilor publice la capacitatea reală de finanțare. În acest sens, documentul servește ca bază pentru elaborarea </w:t>
      </w:r>
      <w:r w:rsidR="000A26AD" w:rsidRPr="00312485">
        <w:rPr>
          <w:lang w:val="ro-MD"/>
        </w:rPr>
        <w:t xml:space="preserve">proiectului de buget pe anul 2026 și </w:t>
      </w:r>
      <w:r w:rsidR="000A26AD" w:rsidRPr="00312485">
        <w:rPr>
          <w:lang w:val="ro-MD" w:eastAsia="en-GB"/>
        </w:rPr>
        <w:t xml:space="preserve">se bazează pe </w:t>
      </w:r>
      <w:r w:rsidR="000A26AD" w:rsidRPr="00312485">
        <w:rPr>
          <w:lang w:val="ro-MD"/>
        </w:rPr>
        <w:t>evoluțiile recente și prognoza principalilor indicatorilor macroeconomici, elaborată de Ministerul Dezvoltării Economice și Digitalizării, asigurând coerența între alocările bugetare și prioritățile strategice stabilite de Guvern, și contribuind la o guvernare mai eficientă, transparentă și responsabilă</w:t>
      </w:r>
      <w:r w:rsidR="009A2F9E" w:rsidRPr="00312485">
        <w:rPr>
          <w:lang w:val="ro-MD"/>
        </w:rPr>
        <w:t>.</w:t>
      </w:r>
    </w:p>
    <w:p w14:paraId="1F9B9BC3" w14:textId="3BA8BC12" w:rsidR="00E93F9B" w:rsidRPr="00312485" w:rsidRDefault="00E93F9B" w:rsidP="00E93F9B">
      <w:pPr>
        <w:rPr>
          <w:sz w:val="24"/>
          <w:szCs w:val="24"/>
          <w:lang w:val="ro-MD"/>
        </w:rPr>
      </w:pPr>
      <w:r w:rsidRPr="00312485">
        <w:rPr>
          <w:sz w:val="24"/>
          <w:szCs w:val="24"/>
          <w:lang w:val="ro-MD"/>
        </w:rPr>
        <w:t>CBTM 2026-2028 vine în sprijinirea financiară a reforme</w:t>
      </w:r>
      <w:r>
        <w:rPr>
          <w:sz w:val="24"/>
          <w:szCs w:val="24"/>
          <w:lang w:val="ro-MD"/>
        </w:rPr>
        <w:t xml:space="preserve">lor </w:t>
      </w:r>
      <w:r w:rsidRPr="00312485">
        <w:rPr>
          <w:sz w:val="24"/>
          <w:szCs w:val="24"/>
          <w:lang w:val="ro-MD"/>
        </w:rPr>
        <w:t xml:space="preserve">structurale, mizând totodată pe asigurarea unei utilizări eficiente a resurselor publice, provenite inclusiv din contul împrumutului acordat de către UE pentru Facilitarea de reformă și creștere pentru Republica Moldova. </w:t>
      </w:r>
    </w:p>
    <w:p w14:paraId="7DFE81AA" w14:textId="7DC1A339" w:rsidR="009A2F9E" w:rsidRPr="00312485" w:rsidRDefault="00B605CD" w:rsidP="009A2F9E">
      <w:pPr>
        <w:tabs>
          <w:tab w:val="left" w:pos="993"/>
        </w:tabs>
        <w:ind w:firstLine="567"/>
        <w:rPr>
          <w:bCs/>
          <w:sz w:val="24"/>
          <w:szCs w:val="28"/>
          <w:lang w:val="ro-MD"/>
        </w:rPr>
      </w:pPr>
      <w:r w:rsidRPr="00312485">
        <w:rPr>
          <w:bCs/>
          <w:sz w:val="24"/>
          <w:szCs w:val="28"/>
          <w:lang w:val="ro-MD"/>
        </w:rPr>
        <w:t>Lansarea și implementarea</w:t>
      </w:r>
      <w:r w:rsidR="009A2F9E" w:rsidRPr="00312485">
        <w:rPr>
          <w:bCs/>
          <w:sz w:val="24"/>
          <w:szCs w:val="28"/>
          <w:lang w:val="ro-MD"/>
        </w:rPr>
        <w:t xml:space="preserve"> Planului de Creștere Economică a Republicii Moldova, un document strategic menit să accelereze ritmul de modernizare și convergență economică cu standardele europene, va impulsiona pozitiv dezvoltarea economiei în toate ramurile. Planul prevede o serie de reforme structurale și măsuri concrete care vizează creșterea potențialului economic al țării prin acțiuni coordonate în mai multe direcții prioritare. Printre pilonii centrali ai Planului se numără: modernizarea infrastructurii, sprijinirea întreprinderilor mici și mijlocii, crearea unui mediu favorabil investițiilor, dezvoltarea capitalului uman.</w:t>
      </w:r>
    </w:p>
    <w:p w14:paraId="6791FE89" w14:textId="055E67AA" w:rsidR="00983E17" w:rsidRPr="00312485" w:rsidRDefault="00796D16" w:rsidP="00796D16">
      <w:pPr>
        <w:rPr>
          <w:sz w:val="24"/>
          <w:szCs w:val="24"/>
          <w:lang w:val="ro-MD"/>
        </w:rPr>
      </w:pPr>
      <w:r w:rsidRPr="00312485">
        <w:rPr>
          <w:sz w:val="24"/>
          <w:szCs w:val="24"/>
          <w:lang w:val="ro-MD"/>
        </w:rPr>
        <w:t>În paralel, CBTM 2026</w:t>
      </w:r>
      <w:r w:rsidR="001D192A" w:rsidRPr="00312485">
        <w:rPr>
          <w:sz w:val="24"/>
          <w:szCs w:val="24"/>
          <w:lang w:val="ro-MD"/>
        </w:rPr>
        <w:t>-</w:t>
      </w:r>
      <w:r w:rsidRPr="00312485">
        <w:rPr>
          <w:sz w:val="24"/>
          <w:szCs w:val="24"/>
          <w:lang w:val="ro-MD"/>
        </w:rPr>
        <w:t xml:space="preserve">2028 se aliniază obiectivelor și acțiunilor stabilite în  principalele documente strategice, precum: </w:t>
      </w:r>
      <w:r w:rsidRPr="00312485">
        <w:rPr>
          <w:bCs/>
          <w:sz w:val="24"/>
          <w:szCs w:val="24"/>
          <w:lang w:val="ro-MD"/>
        </w:rPr>
        <w:t>Strategia națională de dezvoltare ”Moldova Europeană 2030”, Agenda de asociere Republica Moldova-Uniunea Europeană pentru perioada 2021-2027, Programul Național de Aderare a Republicii Moldova la Uniunea Europeană pentru anii 202</w:t>
      </w:r>
      <w:r w:rsidR="00983E17" w:rsidRPr="00312485">
        <w:rPr>
          <w:bCs/>
          <w:sz w:val="24"/>
          <w:szCs w:val="24"/>
          <w:lang w:val="ro-MD"/>
        </w:rPr>
        <w:t>5</w:t>
      </w:r>
      <w:r w:rsidRPr="00312485">
        <w:rPr>
          <w:bCs/>
          <w:sz w:val="24"/>
          <w:szCs w:val="24"/>
          <w:lang w:val="ro-MD"/>
        </w:rPr>
        <w:t xml:space="preserve">-2029, </w:t>
      </w:r>
      <w:r w:rsidRPr="00312485">
        <w:rPr>
          <w:sz w:val="24"/>
          <w:szCs w:val="24"/>
          <w:lang w:val="ro-MD"/>
        </w:rPr>
        <w:t xml:space="preserve">Planul Național de Dezvoltare pe 2026-2028 și </w:t>
      </w:r>
      <w:r w:rsidR="00C52A7C" w:rsidRPr="00312485">
        <w:rPr>
          <w:sz w:val="24"/>
          <w:szCs w:val="24"/>
          <w:lang w:val="ro-MD"/>
        </w:rPr>
        <w:t xml:space="preserve">alte </w:t>
      </w:r>
      <w:r w:rsidRPr="00312485">
        <w:rPr>
          <w:sz w:val="24"/>
          <w:szCs w:val="24"/>
          <w:lang w:val="ro-MD"/>
        </w:rPr>
        <w:t>angajamente asumate față de partenerii de dezvoltare.</w:t>
      </w:r>
      <w:r w:rsidR="00983E17" w:rsidRPr="00312485">
        <w:rPr>
          <w:sz w:val="24"/>
          <w:szCs w:val="24"/>
          <w:lang w:val="ro-MD"/>
        </w:rPr>
        <w:t xml:space="preserve">  </w:t>
      </w:r>
    </w:p>
    <w:p w14:paraId="144478DC" w14:textId="36427870" w:rsidR="00796D16" w:rsidRPr="00312485" w:rsidRDefault="00796D16" w:rsidP="00796D16">
      <w:pPr>
        <w:ind w:firstLine="567"/>
        <w:rPr>
          <w:sz w:val="24"/>
          <w:szCs w:val="24"/>
          <w:lang w:val="ro-MD"/>
        </w:rPr>
      </w:pPr>
      <w:r w:rsidRPr="00312485">
        <w:rPr>
          <w:sz w:val="24"/>
          <w:szCs w:val="24"/>
          <w:lang w:val="ro-MD"/>
        </w:rPr>
        <w:t xml:space="preserve">Cadrul bugetar </w:t>
      </w:r>
      <w:r w:rsidR="002E6068" w:rsidRPr="00312485">
        <w:rPr>
          <w:sz w:val="24"/>
          <w:szCs w:val="24"/>
          <w:lang w:val="ro-MD"/>
        </w:rPr>
        <w:t xml:space="preserve">pe termen mediu </w:t>
      </w:r>
      <w:r w:rsidRPr="00312485">
        <w:rPr>
          <w:sz w:val="24"/>
          <w:szCs w:val="24"/>
          <w:lang w:val="ro-MD"/>
        </w:rPr>
        <w:t>este el</w:t>
      </w:r>
      <w:r w:rsidR="00983E17" w:rsidRPr="00312485">
        <w:rPr>
          <w:sz w:val="24"/>
          <w:szCs w:val="24"/>
          <w:lang w:val="ro-MD"/>
        </w:rPr>
        <w:t>aborat de Ministerul Finanțelor</w:t>
      </w:r>
      <w:r w:rsidRPr="00312485">
        <w:rPr>
          <w:sz w:val="24"/>
          <w:szCs w:val="24"/>
          <w:lang w:val="ro-MD"/>
        </w:rPr>
        <w:t xml:space="preserve"> în coordonare cu</w:t>
      </w:r>
      <w:r w:rsidR="00992FB6">
        <w:rPr>
          <w:sz w:val="24"/>
          <w:szCs w:val="24"/>
          <w:lang w:val="ro-MD"/>
        </w:rPr>
        <w:t xml:space="preserve"> autoritățile publice centrale și </w:t>
      </w:r>
      <w:r w:rsidRPr="00312485">
        <w:rPr>
          <w:sz w:val="24"/>
          <w:szCs w:val="24"/>
          <w:lang w:val="ro-MD"/>
        </w:rPr>
        <w:t>reflectă angajamentul ferm al autorităților de a gestiona responsabil finanțele publice, în sprijinul dezvoltării durabile și al integrării europene a Republicii Moldova. Totodată, documentul servește ca platformă pentru integrarea priorităților sectoriale în previziunile bugetare, oferind claritate și stabilitate tuturor actorilor implicați în procesul decizional și de implementare.</w:t>
      </w:r>
    </w:p>
    <w:p w14:paraId="35ABBA4F" w14:textId="595CCB78" w:rsidR="00796D16" w:rsidRPr="00312485" w:rsidRDefault="004D7251" w:rsidP="00C52A7C">
      <w:pPr>
        <w:autoSpaceDE w:val="0"/>
        <w:autoSpaceDN w:val="0"/>
        <w:adjustRightInd w:val="0"/>
        <w:spacing w:before="120"/>
        <w:ind w:firstLine="567"/>
        <w:rPr>
          <w:sz w:val="24"/>
          <w:szCs w:val="24"/>
          <w:lang w:val="ro-MD"/>
        </w:rPr>
      </w:pPr>
      <w:r>
        <w:rPr>
          <w:sz w:val="24"/>
          <w:szCs w:val="24"/>
          <w:lang w:val="ro-MD"/>
        </w:rPr>
        <w:t>D</w:t>
      </w:r>
      <w:r w:rsidR="00796D16" w:rsidRPr="00312485">
        <w:rPr>
          <w:sz w:val="24"/>
          <w:szCs w:val="24"/>
          <w:lang w:val="ro-MD"/>
        </w:rPr>
        <w:t xml:space="preserve">ocumentul </w:t>
      </w:r>
      <w:r w:rsidR="006A221F">
        <w:rPr>
          <w:sz w:val="24"/>
          <w:szCs w:val="24"/>
          <w:lang w:val="ro-MD"/>
        </w:rPr>
        <w:t xml:space="preserve">CBTM </w:t>
      </w:r>
      <w:r w:rsidR="00796D16" w:rsidRPr="00312485">
        <w:rPr>
          <w:sz w:val="24"/>
          <w:szCs w:val="24"/>
          <w:lang w:val="ro-MD"/>
        </w:rPr>
        <w:t xml:space="preserve">2026-2028 este constituit din partea textuală și anexe. </w:t>
      </w:r>
    </w:p>
    <w:p w14:paraId="18172ACA" w14:textId="7FF9584E" w:rsidR="00796D16" w:rsidRPr="00312485" w:rsidRDefault="00796D16" w:rsidP="00796D16">
      <w:pPr>
        <w:autoSpaceDE w:val="0"/>
        <w:autoSpaceDN w:val="0"/>
        <w:adjustRightInd w:val="0"/>
        <w:ind w:firstLine="567"/>
        <w:rPr>
          <w:sz w:val="24"/>
          <w:szCs w:val="24"/>
          <w:lang w:val="ro-MD" w:eastAsia="ru-RU"/>
        </w:rPr>
      </w:pPr>
      <w:r w:rsidRPr="00312485">
        <w:rPr>
          <w:i/>
          <w:sz w:val="24"/>
          <w:szCs w:val="24"/>
          <w:lang w:val="ro-MD"/>
        </w:rPr>
        <w:t>Partea textuală</w:t>
      </w:r>
      <w:r w:rsidRPr="00312485">
        <w:rPr>
          <w:sz w:val="24"/>
          <w:szCs w:val="24"/>
          <w:lang w:val="ro-MD"/>
        </w:rPr>
        <w:t xml:space="preserve"> cuprinde: </w:t>
      </w:r>
      <w:r w:rsidR="000306B7" w:rsidRPr="00FF7348">
        <w:rPr>
          <w:sz w:val="24"/>
          <w:szCs w:val="24"/>
          <w:lang w:val="ro-MD"/>
        </w:rPr>
        <w:t>(i) descriere</w:t>
      </w:r>
      <w:r w:rsidR="000306B7">
        <w:rPr>
          <w:sz w:val="24"/>
          <w:szCs w:val="24"/>
          <w:lang w:val="ro-MD"/>
        </w:rPr>
        <w:t>a</w:t>
      </w:r>
      <w:r w:rsidR="000306B7" w:rsidRPr="00FF7348">
        <w:rPr>
          <w:sz w:val="24"/>
          <w:szCs w:val="24"/>
          <w:lang w:val="ro-MD"/>
        </w:rPr>
        <w:t xml:space="preserve"> generală</w:t>
      </w:r>
      <w:r w:rsidR="000306B7">
        <w:rPr>
          <w:sz w:val="24"/>
          <w:szCs w:val="24"/>
          <w:lang w:val="ro-MD"/>
        </w:rPr>
        <w:t xml:space="preserve"> și evoluțiile economice, </w:t>
      </w:r>
      <w:r w:rsidR="000306B7" w:rsidRPr="00FF7348">
        <w:rPr>
          <w:sz w:val="24"/>
          <w:szCs w:val="24"/>
          <w:lang w:val="ro-MD"/>
        </w:rPr>
        <w:t>(ii) perspectivele economice globale și riscurile pe termen mediu; (iii) obiectivele politicii bugetar-fiscale și vamale</w:t>
      </w:r>
      <w:r w:rsidR="00C70900">
        <w:rPr>
          <w:sz w:val="24"/>
          <w:szCs w:val="24"/>
          <w:lang w:val="ro-MD"/>
        </w:rPr>
        <w:t>,</w:t>
      </w:r>
      <w:r w:rsidR="000306B7" w:rsidRPr="00FF7348">
        <w:rPr>
          <w:sz w:val="24"/>
          <w:szCs w:val="24"/>
          <w:lang w:val="ro-MD"/>
        </w:rPr>
        <w:t xml:space="preserve"> prognoza veniturilor și cheltuielilor publice; politica cheltuielilor de personal</w:t>
      </w:r>
      <w:r w:rsidR="00C70900">
        <w:rPr>
          <w:sz w:val="24"/>
          <w:szCs w:val="24"/>
          <w:lang w:val="ro-MD"/>
        </w:rPr>
        <w:t>,</w:t>
      </w:r>
      <w:r w:rsidR="000306B7" w:rsidRPr="00FF7348">
        <w:rPr>
          <w:sz w:val="24"/>
          <w:szCs w:val="24"/>
          <w:lang w:val="ro-MD"/>
        </w:rPr>
        <w:t xml:space="preserve"> </w:t>
      </w:r>
      <w:r w:rsidR="000306B7">
        <w:rPr>
          <w:sz w:val="24"/>
          <w:szCs w:val="24"/>
          <w:lang w:val="ro-MD"/>
        </w:rPr>
        <w:lastRenderedPageBreak/>
        <w:t xml:space="preserve">prioritățile </w:t>
      </w:r>
      <w:r w:rsidR="000306B7" w:rsidRPr="00FF7348">
        <w:rPr>
          <w:sz w:val="24"/>
          <w:szCs w:val="24"/>
          <w:lang w:val="ro-MD"/>
        </w:rPr>
        <w:t>politicii cheltuielilor pe sectoare</w:t>
      </w:r>
      <w:r w:rsidR="00C70900">
        <w:rPr>
          <w:sz w:val="24"/>
          <w:szCs w:val="24"/>
          <w:lang w:val="ro-MD"/>
        </w:rPr>
        <w:t>,</w:t>
      </w:r>
      <w:r w:rsidR="000306B7" w:rsidRPr="00FF7348">
        <w:rPr>
          <w:sz w:val="24"/>
          <w:szCs w:val="24"/>
          <w:lang w:val="ro-MD"/>
        </w:rPr>
        <w:t xml:space="preserve"> sursele de finanțare internă și externă și datoria de stat; (iv) descrierea</w:t>
      </w:r>
      <w:r w:rsidR="000306B7" w:rsidRPr="00FF7348">
        <w:rPr>
          <w:sz w:val="24"/>
          <w:szCs w:val="24"/>
          <w:lang w:val="ro-MD" w:eastAsia="ru-RU"/>
        </w:rPr>
        <w:t xml:space="preserve"> cadrului de cheltuieli ale bugetului public național pe termen mediu</w:t>
      </w:r>
      <w:r w:rsidR="00C70900">
        <w:rPr>
          <w:sz w:val="24"/>
          <w:szCs w:val="24"/>
          <w:lang w:val="ro-MD" w:eastAsia="ru-RU"/>
        </w:rPr>
        <w:t>,</w:t>
      </w:r>
      <w:r w:rsidR="000306B7" w:rsidRPr="00FF7348">
        <w:rPr>
          <w:sz w:val="24"/>
          <w:szCs w:val="24"/>
          <w:lang w:val="ro-MD" w:eastAsia="ru-RU"/>
        </w:rPr>
        <w:t xml:space="preserve"> proiecte finanțate din surse externe, proiecte de investiții capitale publice, precum și (v) </w:t>
      </w:r>
      <w:r w:rsidR="000306B7">
        <w:rPr>
          <w:sz w:val="24"/>
          <w:szCs w:val="24"/>
          <w:lang w:val="ro-MD" w:eastAsia="ru-RU"/>
        </w:rPr>
        <w:t>descrierea consolidării</w:t>
      </w:r>
      <w:r w:rsidR="000306B7" w:rsidRPr="00FF7348">
        <w:rPr>
          <w:sz w:val="24"/>
          <w:szCs w:val="24"/>
          <w:lang w:val="ro-MD" w:eastAsia="ru-RU"/>
        </w:rPr>
        <w:t xml:space="preserve"> bugetar-fiscală</w:t>
      </w:r>
      <w:r w:rsidR="000306B7">
        <w:rPr>
          <w:sz w:val="24"/>
          <w:szCs w:val="24"/>
          <w:lang w:val="ro-MD" w:eastAsia="ru-RU"/>
        </w:rPr>
        <w:t xml:space="preserve"> (</w:t>
      </w:r>
      <w:r w:rsidR="000306B7" w:rsidRPr="00FF7348">
        <w:rPr>
          <w:sz w:val="24"/>
          <w:szCs w:val="24"/>
          <w:lang w:val="ro-MD" w:eastAsia="ru-RU"/>
        </w:rPr>
        <w:t xml:space="preserve">inclusiv </w:t>
      </w:r>
      <w:proofErr w:type="spellStart"/>
      <w:r w:rsidR="000306B7" w:rsidRPr="00FF7348">
        <w:rPr>
          <w:bCs/>
          <w:iCs/>
          <w:sz w:val="24"/>
          <w:szCs w:val="24"/>
          <w:lang w:eastAsia="ro-RO"/>
        </w:rPr>
        <w:t>regula</w:t>
      </w:r>
      <w:proofErr w:type="spellEnd"/>
      <w:r w:rsidR="000306B7" w:rsidRPr="00FF7348">
        <w:rPr>
          <w:bCs/>
          <w:iCs/>
          <w:sz w:val="24"/>
          <w:szCs w:val="24"/>
          <w:lang w:eastAsia="ro-RO"/>
        </w:rPr>
        <w:t xml:space="preserve"> </w:t>
      </w:r>
      <w:proofErr w:type="spellStart"/>
      <w:r w:rsidR="000306B7" w:rsidRPr="00FF7348">
        <w:rPr>
          <w:bCs/>
          <w:iCs/>
          <w:sz w:val="24"/>
          <w:szCs w:val="24"/>
          <w:lang w:eastAsia="ro-RO"/>
        </w:rPr>
        <w:t>bugetar-fiscală</w:t>
      </w:r>
      <w:proofErr w:type="spellEnd"/>
      <w:r w:rsidR="000306B7" w:rsidRPr="00FF7348">
        <w:rPr>
          <w:bCs/>
          <w:iCs/>
          <w:sz w:val="24"/>
          <w:szCs w:val="24"/>
          <w:lang w:eastAsia="ro-RO"/>
        </w:rPr>
        <w:t xml:space="preserve">, </w:t>
      </w:r>
      <w:proofErr w:type="spellStart"/>
      <w:r w:rsidR="000306B7" w:rsidRPr="00FF7348">
        <w:rPr>
          <w:bCs/>
          <w:iCs/>
          <w:sz w:val="24"/>
          <w:szCs w:val="24"/>
          <w:lang w:eastAsia="ro-RO"/>
        </w:rPr>
        <w:t>soldul</w:t>
      </w:r>
      <w:proofErr w:type="spellEnd"/>
      <w:r w:rsidR="000306B7" w:rsidRPr="00FF7348">
        <w:rPr>
          <w:bCs/>
          <w:iCs/>
          <w:sz w:val="24"/>
          <w:szCs w:val="24"/>
          <w:lang w:eastAsia="ro-RO"/>
        </w:rPr>
        <w:t xml:space="preserve"> structural </w:t>
      </w:r>
      <w:proofErr w:type="spellStart"/>
      <w:r w:rsidR="000306B7" w:rsidRPr="00FF7348">
        <w:rPr>
          <w:bCs/>
          <w:iCs/>
          <w:sz w:val="24"/>
          <w:szCs w:val="24"/>
          <w:lang w:eastAsia="ro-RO"/>
        </w:rPr>
        <w:t>și</w:t>
      </w:r>
      <w:proofErr w:type="spellEnd"/>
      <w:r w:rsidR="000306B7" w:rsidRPr="00FF7348">
        <w:rPr>
          <w:bCs/>
          <w:iCs/>
          <w:sz w:val="24"/>
          <w:szCs w:val="24"/>
          <w:lang w:eastAsia="ro-RO"/>
        </w:rPr>
        <w:t xml:space="preserve"> </w:t>
      </w:r>
      <w:proofErr w:type="spellStart"/>
      <w:r w:rsidR="000306B7" w:rsidRPr="00FF7348">
        <w:rPr>
          <w:bCs/>
          <w:iCs/>
          <w:sz w:val="24"/>
          <w:szCs w:val="24"/>
          <w:lang w:eastAsia="ro-RO"/>
        </w:rPr>
        <w:t>eficientizarea</w:t>
      </w:r>
      <w:proofErr w:type="spellEnd"/>
      <w:r w:rsidR="000306B7" w:rsidRPr="00FF7348">
        <w:rPr>
          <w:bCs/>
          <w:iCs/>
          <w:sz w:val="24"/>
          <w:szCs w:val="24"/>
          <w:lang w:eastAsia="ro-RO"/>
        </w:rPr>
        <w:t xml:space="preserve"> </w:t>
      </w:r>
      <w:proofErr w:type="spellStart"/>
      <w:r w:rsidR="000306B7" w:rsidRPr="00FF7348">
        <w:rPr>
          <w:bCs/>
          <w:iCs/>
          <w:sz w:val="24"/>
          <w:szCs w:val="24"/>
          <w:lang w:eastAsia="ro-RO"/>
        </w:rPr>
        <w:t>cheltuielilor</w:t>
      </w:r>
      <w:proofErr w:type="spellEnd"/>
      <w:r w:rsidR="000306B7" w:rsidRPr="00FF7348">
        <w:rPr>
          <w:bCs/>
          <w:iCs/>
          <w:sz w:val="24"/>
          <w:szCs w:val="24"/>
          <w:lang w:eastAsia="ro-RO"/>
        </w:rPr>
        <w:t xml:space="preserve"> </w:t>
      </w:r>
      <w:proofErr w:type="spellStart"/>
      <w:r w:rsidR="000306B7" w:rsidRPr="00FF7348">
        <w:rPr>
          <w:bCs/>
          <w:iCs/>
          <w:sz w:val="24"/>
          <w:szCs w:val="24"/>
          <w:lang w:eastAsia="ro-RO"/>
        </w:rPr>
        <w:t>publice</w:t>
      </w:r>
      <w:proofErr w:type="spellEnd"/>
      <w:r w:rsidR="000306B7">
        <w:rPr>
          <w:bCs/>
          <w:iCs/>
          <w:sz w:val="24"/>
          <w:szCs w:val="24"/>
          <w:lang w:eastAsia="ro-RO"/>
        </w:rPr>
        <w:t>)</w:t>
      </w:r>
      <w:r w:rsidR="000306B7" w:rsidRPr="00FF7348">
        <w:rPr>
          <w:sz w:val="24"/>
          <w:szCs w:val="24"/>
          <w:lang w:val="ro-MD" w:eastAsia="ru-RU"/>
        </w:rPr>
        <w:t>.</w:t>
      </w:r>
      <w:r w:rsidRPr="00312485">
        <w:rPr>
          <w:sz w:val="24"/>
          <w:szCs w:val="24"/>
          <w:lang w:val="ro-MD" w:eastAsia="ru-RU"/>
        </w:rPr>
        <w:t xml:space="preserve"> </w:t>
      </w:r>
    </w:p>
    <w:p w14:paraId="044D5530" w14:textId="10FB3463" w:rsidR="00796D16" w:rsidRPr="00312485" w:rsidRDefault="00796D16" w:rsidP="00796D16">
      <w:pPr>
        <w:autoSpaceDE w:val="0"/>
        <w:autoSpaceDN w:val="0"/>
        <w:adjustRightInd w:val="0"/>
        <w:ind w:firstLine="567"/>
        <w:rPr>
          <w:sz w:val="24"/>
          <w:szCs w:val="24"/>
          <w:lang w:val="ro-MD"/>
        </w:rPr>
      </w:pPr>
      <w:r w:rsidRPr="00312485">
        <w:rPr>
          <w:i/>
          <w:sz w:val="24"/>
          <w:szCs w:val="24"/>
          <w:lang w:val="ro-MD"/>
        </w:rPr>
        <w:t>Anexele</w:t>
      </w:r>
      <w:r w:rsidRPr="00312485">
        <w:rPr>
          <w:sz w:val="24"/>
          <w:szCs w:val="24"/>
          <w:lang w:val="ro-MD"/>
        </w:rPr>
        <w:t xml:space="preserve"> conțin detalii cu privire la prognoza indicatorilor macroeconomici (</w:t>
      </w:r>
      <w:r w:rsidRPr="00312485">
        <w:rPr>
          <w:i/>
          <w:sz w:val="24"/>
          <w:szCs w:val="24"/>
          <w:lang w:val="ro-MD"/>
        </w:rPr>
        <w:t>anexa nr. 1</w:t>
      </w:r>
      <w:r w:rsidRPr="00312485">
        <w:rPr>
          <w:sz w:val="24"/>
          <w:szCs w:val="24"/>
          <w:lang w:val="ro-MD"/>
        </w:rPr>
        <w:t>), evoluția și estimările cheltuielilor pe BPN și bugetele componente</w:t>
      </w:r>
      <w:r w:rsidR="004E6171">
        <w:rPr>
          <w:sz w:val="24"/>
          <w:szCs w:val="24"/>
          <w:lang w:val="ro-MD"/>
        </w:rPr>
        <w:t>,</w:t>
      </w:r>
      <w:r w:rsidR="004E6171" w:rsidRPr="004E6171">
        <w:rPr>
          <w:sz w:val="24"/>
          <w:szCs w:val="24"/>
          <w:lang w:val="ro-MD"/>
        </w:rPr>
        <w:t xml:space="preserve"> </w:t>
      </w:r>
      <w:r w:rsidR="004E6171">
        <w:rPr>
          <w:sz w:val="24"/>
          <w:szCs w:val="24"/>
          <w:lang w:val="ro-MD"/>
        </w:rPr>
        <w:t>inclusiv estimarea resurselor în cadrul limitelor sectoriale de cheltuieli ale bugetului public național</w:t>
      </w:r>
      <w:r w:rsidRPr="00312485">
        <w:rPr>
          <w:sz w:val="24"/>
          <w:szCs w:val="24"/>
          <w:lang w:val="ro-MD"/>
        </w:rPr>
        <w:t xml:space="preserve"> (</w:t>
      </w:r>
      <w:r w:rsidRPr="00312485">
        <w:rPr>
          <w:i/>
          <w:sz w:val="24"/>
          <w:szCs w:val="24"/>
          <w:lang w:val="ro-MD"/>
        </w:rPr>
        <w:t>anexele nr. 2.1.1-nr.2.5.3</w:t>
      </w:r>
      <w:r w:rsidRPr="00312485">
        <w:rPr>
          <w:sz w:val="24"/>
          <w:szCs w:val="24"/>
          <w:lang w:val="ro-MD"/>
        </w:rPr>
        <w:t>), limitele de cheltuieli de la bugetul de stat pe autorități bugetare (</w:t>
      </w:r>
      <w:r w:rsidRPr="00312485">
        <w:rPr>
          <w:i/>
          <w:sz w:val="24"/>
          <w:szCs w:val="24"/>
          <w:lang w:val="ro-MD"/>
        </w:rPr>
        <w:t>anexa nr.3</w:t>
      </w:r>
      <w:r w:rsidRPr="00312485">
        <w:rPr>
          <w:sz w:val="24"/>
          <w:szCs w:val="24"/>
          <w:lang w:val="ro-MD"/>
        </w:rPr>
        <w:t>), prioritățile politicii cheltuielilor pe sectoare și programele bugetare (</w:t>
      </w:r>
      <w:r w:rsidRPr="00312485">
        <w:rPr>
          <w:i/>
          <w:sz w:val="24"/>
          <w:szCs w:val="24"/>
          <w:lang w:val="ro-MD"/>
        </w:rPr>
        <w:t>anexele nr.4-24</w:t>
      </w:r>
      <w:r w:rsidRPr="00312485">
        <w:rPr>
          <w:sz w:val="24"/>
          <w:szCs w:val="24"/>
          <w:lang w:val="ro-MD"/>
        </w:rPr>
        <w:t>)</w:t>
      </w:r>
      <w:r w:rsidR="00557333" w:rsidRPr="00312485">
        <w:rPr>
          <w:sz w:val="24"/>
          <w:szCs w:val="24"/>
          <w:lang w:val="ro-MD"/>
        </w:rPr>
        <w:t xml:space="preserve">, </w:t>
      </w:r>
      <w:r w:rsidR="007464FE" w:rsidRPr="00312485">
        <w:rPr>
          <w:sz w:val="24"/>
          <w:szCs w:val="24"/>
          <w:lang w:val="ro-MD"/>
        </w:rPr>
        <w:t>limitele de cheltuieli de la bugetul de stat pentru măsurile aferente</w:t>
      </w:r>
      <w:r w:rsidR="00557333" w:rsidRPr="00312485">
        <w:rPr>
          <w:sz w:val="24"/>
          <w:szCs w:val="24"/>
          <w:lang w:val="ro-MD"/>
        </w:rPr>
        <w:t xml:space="preserve"> </w:t>
      </w:r>
      <w:r w:rsidR="007464FE" w:rsidRPr="00312485">
        <w:rPr>
          <w:sz w:val="24"/>
          <w:szCs w:val="24"/>
          <w:lang w:val="ro-MD"/>
        </w:rPr>
        <w:t>P</w:t>
      </w:r>
      <w:r w:rsidR="00557333" w:rsidRPr="00312485">
        <w:rPr>
          <w:sz w:val="24"/>
          <w:szCs w:val="24"/>
          <w:lang w:val="ro-MD"/>
        </w:rPr>
        <w:t>lanului de creștere</w:t>
      </w:r>
      <w:r w:rsidR="007464FE" w:rsidRPr="00312485">
        <w:rPr>
          <w:sz w:val="24"/>
          <w:szCs w:val="24"/>
          <w:lang w:val="ro-MD"/>
        </w:rPr>
        <w:t xml:space="preserve"> economică</w:t>
      </w:r>
      <w:r w:rsidR="00557333" w:rsidRPr="00312485">
        <w:rPr>
          <w:sz w:val="24"/>
          <w:szCs w:val="24"/>
          <w:lang w:val="ro-MD"/>
        </w:rPr>
        <w:t xml:space="preserve"> (</w:t>
      </w:r>
      <w:r w:rsidR="00557333" w:rsidRPr="00312485">
        <w:rPr>
          <w:i/>
          <w:sz w:val="24"/>
          <w:szCs w:val="24"/>
          <w:lang w:val="ro-MD"/>
        </w:rPr>
        <w:t>anexa nr.</w:t>
      </w:r>
      <w:r w:rsidR="007464FE" w:rsidRPr="00312485">
        <w:rPr>
          <w:i/>
          <w:sz w:val="24"/>
          <w:szCs w:val="24"/>
          <w:lang w:val="ro-MD"/>
        </w:rPr>
        <w:t>25</w:t>
      </w:r>
      <w:r w:rsidR="00557333" w:rsidRPr="00312485">
        <w:rPr>
          <w:sz w:val="24"/>
          <w:szCs w:val="24"/>
          <w:lang w:val="ro-MD"/>
        </w:rPr>
        <w:t>)</w:t>
      </w:r>
      <w:r w:rsidR="007464FE" w:rsidRPr="00312485">
        <w:rPr>
          <w:sz w:val="24"/>
          <w:szCs w:val="24"/>
          <w:lang w:val="ro-MD"/>
        </w:rPr>
        <w:t>.</w:t>
      </w:r>
    </w:p>
    <w:p w14:paraId="0FD90619" w14:textId="719C1A4A" w:rsidR="00C05D1A" w:rsidRPr="00A6103A" w:rsidRDefault="00C05D1A" w:rsidP="00796D16">
      <w:pPr>
        <w:autoSpaceDE w:val="0"/>
        <w:autoSpaceDN w:val="0"/>
        <w:adjustRightInd w:val="0"/>
        <w:ind w:firstLine="567"/>
        <w:rPr>
          <w:sz w:val="14"/>
          <w:szCs w:val="24"/>
          <w:lang w:val="ro-MD"/>
        </w:rPr>
      </w:pPr>
    </w:p>
    <w:p w14:paraId="529313C0" w14:textId="084088D5" w:rsidR="00CD7C4C" w:rsidRPr="00312485" w:rsidRDefault="00CD7C4C" w:rsidP="00BF666C">
      <w:pPr>
        <w:shd w:val="clear" w:color="auto" w:fill="DBE5F1" w:themeFill="accent1" w:themeFillTint="33"/>
        <w:tabs>
          <w:tab w:val="center" w:pos="4848"/>
          <w:tab w:val="left" w:pos="7515"/>
        </w:tabs>
        <w:ind w:firstLine="0"/>
        <w:jc w:val="left"/>
        <w:rPr>
          <w:b/>
          <w:sz w:val="24"/>
          <w:szCs w:val="24"/>
          <w:lang w:val="ro-MD"/>
        </w:rPr>
      </w:pPr>
      <w:r w:rsidRPr="00312485">
        <w:rPr>
          <w:b/>
          <w:sz w:val="24"/>
          <w:szCs w:val="24"/>
          <w:lang w:val="ro-MD"/>
        </w:rPr>
        <w:tab/>
        <w:t xml:space="preserve">II. PERSPECTIVE ECONOMICE </w:t>
      </w:r>
    </w:p>
    <w:p w14:paraId="20125C06" w14:textId="77777777" w:rsidR="00C96A6F" w:rsidRPr="00A6103A" w:rsidRDefault="00C96A6F" w:rsidP="005A3223">
      <w:pPr>
        <w:ind w:firstLine="567"/>
        <w:rPr>
          <w:b/>
          <w:bCs/>
          <w:sz w:val="18"/>
          <w:szCs w:val="24"/>
          <w:lang w:val="ro-MD"/>
        </w:rPr>
      </w:pPr>
    </w:p>
    <w:p w14:paraId="4999AAFE" w14:textId="7F7EC907" w:rsidR="005A3223" w:rsidRPr="00312485" w:rsidRDefault="005A3223" w:rsidP="00C96A6F">
      <w:pPr>
        <w:pStyle w:val="Listparagraf"/>
        <w:numPr>
          <w:ilvl w:val="0"/>
          <w:numId w:val="30"/>
        </w:numPr>
        <w:rPr>
          <w:b/>
          <w:bCs/>
          <w:sz w:val="24"/>
          <w:szCs w:val="24"/>
          <w:lang w:val="ro-MD"/>
        </w:rPr>
      </w:pPr>
      <w:r w:rsidRPr="00312485">
        <w:rPr>
          <w:b/>
          <w:bCs/>
          <w:sz w:val="24"/>
          <w:szCs w:val="24"/>
          <w:lang w:val="ro-MD"/>
        </w:rPr>
        <w:t>Perspective economice globale</w:t>
      </w:r>
    </w:p>
    <w:p w14:paraId="351F24F1" w14:textId="77777777" w:rsidR="00C96A6F" w:rsidRPr="00A6103A" w:rsidRDefault="00C96A6F" w:rsidP="00C96A6F">
      <w:pPr>
        <w:pStyle w:val="Listparagraf"/>
        <w:ind w:left="927" w:firstLine="0"/>
        <w:rPr>
          <w:b/>
          <w:bCs/>
          <w:szCs w:val="24"/>
          <w:lang w:val="ro-MD"/>
        </w:rPr>
      </w:pPr>
    </w:p>
    <w:p w14:paraId="7F55F6BB" w14:textId="783DC94B" w:rsidR="005A3223" w:rsidRPr="00312485" w:rsidRDefault="005A3223" w:rsidP="005A3223">
      <w:pPr>
        <w:tabs>
          <w:tab w:val="left" w:pos="993"/>
        </w:tabs>
        <w:rPr>
          <w:bCs/>
          <w:sz w:val="24"/>
          <w:szCs w:val="28"/>
          <w:lang w:val="ro-MD"/>
        </w:rPr>
      </w:pPr>
      <w:r w:rsidRPr="00312485">
        <w:rPr>
          <w:bCs/>
          <w:sz w:val="24"/>
          <w:szCs w:val="28"/>
          <w:lang w:val="ro-MD"/>
        </w:rPr>
        <w:t xml:space="preserve">Creșterea economică globală se stabilizează pe măsură ce inflația se apropie de țintele stabilite, iar relaxarea politicii monetare susține activitatea atât în economiile avansate, cât și în cele emergente și în curs de dezvoltare. Potrivit prognozei FMI, creșterea globală este estimată la </w:t>
      </w:r>
      <w:r w:rsidR="00A525FE" w:rsidRPr="00312485">
        <w:rPr>
          <w:bCs/>
          <w:sz w:val="24"/>
          <w:szCs w:val="28"/>
          <w:lang w:val="ro-MD"/>
        </w:rPr>
        <w:t xml:space="preserve">nivel de circa </w:t>
      </w:r>
      <w:r w:rsidRPr="00312485">
        <w:rPr>
          <w:bCs/>
          <w:sz w:val="24"/>
          <w:szCs w:val="28"/>
          <w:lang w:val="ro-MD"/>
        </w:rPr>
        <w:t>3,</w:t>
      </w:r>
      <w:r w:rsidR="00A525FE" w:rsidRPr="00312485">
        <w:rPr>
          <w:bCs/>
          <w:sz w:val="24"/>
          <w:szCs w:val="28"/>
          <w:lang w:val="ro-MD"/>
        </w:rPr>
        <w:t>0</w:t>
      </w:r>
      <w:r w:rsidRPr="00312485">
        <w:rPr>
          <w:bCs/>
          <w:sz w:val="24"/>
          <w:szCs w:val="28"/>
          <w:lang w:val="ro-MD"/>
        </w:rPr>
        <w:t xml:space="preserve">% pentru </w:t>
      </w:r>
      <w:r w:rsidR="00A525FE" w:rsidRPr="00312485">
        <w:rPr>
          <w:bCs/>
          <w:sz w:val="24"/>
          <w:szCs w:val="28"/>
          <w:lang w:val="ro-MD"/>
        </w:rPr>
        <w:t xml:space="preserve">anii </w:t>
      </w:r>
      <w:r w:rsidRPr="00312485">
        <w:rPr>
          <w:bCs/>
          <w:sz w:val="24"/>
          <w:szCs w:val="28"/>
          <w:lang w:val="ro-MD"/>
        </w:rPr>
        <w:t>2025</w:t>
      </w:r>
      <w:r w:rsidR="00A525FE" w:rsidRPr="00312485">
        <w:rPr>
          <w:bCs/>
          <w:sz w:val="24"/>
          <w:szCs w:val="28"/>
          <w:lang w:val="ro-MD"/>
        </w:rPr>
        <w:t>-</w:t>
      </w:r>
      <w:r w:rsidRPr="00312485">
        <w:rPr>
          <w:bCs/>
          <w:sz w:val="24"/>
          <w:szCs w:val="28"/>
          <w:lang w:val="ro-MD"/>
        </w:rPr>
        <w:t>2026</w:t>
      </w:r>
      <w:r w:rsidR="00523619">
        <w:rPr>
          <w:bCs/>
          <w:sz w:val="24"/>
          <w:szCs w:val="28"/>
          <w:lang w:val="ro-MD"/>
        </w:rPr>
        <w:t xml:space="preserve">. </w:t>
      </w:r>
      <w:r w:rsidRPr="00312485">
        <w:rPr>
          <w:bCs/>
          <w:sz w:val="24"/>
          <w:szCs w:val="28"/>
          <w:lang w:val="ro-MD"/>
        </w:rPr>
        <w:t>Cu toate acestea, perspectivele de creștere sunt insuficiente pentru a compensa daunele provocate economiei globale de șocurile negative, cu impact sever asupra celor mai vulnerabile țări. Principalele riscuri pentru perspectivele economice includ incertitudinea politică crescută și tensiunile comerciale.</w:t>
      </w:r>
    </w:p>
    <w:p w14:paraId="1FE770F3" w14:textId="3EFB9A45" w:rsidR="005A3223" w:rsidRPr="00312485" w:rsidRDefault="005A3223" w:rsidP="005A3223">
      <w:pPr>
        <w:tabs>
          <w:tab w:val="left" w:pos="993"/>
        </w:tabs>
        <w:rPr>
          <w:bCs/>
          <w:sz w:val="24"/>
          <w:szCs w:val="28"/>
          <w:lang w:val="ro-MD"/>
        </w:rPr>
      </w:pPr>
      <w:r w:rsidRPr="00312485">
        <w:rPr>
          <w:bCs/>
          <w:sz w:val="24"/>
          <w:szCs w:val="28"/>
          <w:lang w:val="ro-MD"/>
        </w:rPr>
        <w:t>Se așteaptă că procesul de dezinflație va continua, cu inflația globală prognozată la 4,2% în 2025 și 3,5% în 2026, pe fondul reducerii ratelor dobânzilor de politică monetară ale băncilor centrale în principale țări. Deși inflația pentru produsele de bază a revenit la țintele stabilite, inflația prețurilor la servicii în multe țări, în special în Statele Unite și în zona euro, rămâne încă peste media din perioada anterioară pandemiei de COVID-19.</w:t>
      </w:r>
    </w:p>
    <w:p w14:paraId="4D9D6B28"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Conform prognozei, prețurile la resursele energetice vor scădea cu 2,6% în 2025, datorită prețurilor la petrol cauzate de cererea scăzută din China și oferta semnificativă a țărilor non-OPEC+. În același timp, această scădere va fi parțial compensată de prețurile mai mari la gaze din cauza unei ierni mai reci decât s-a anticipat, a întreruperilor de aprovizionare și a conflictului în curs din Orientul Mijlociu.</w:t>
      </w:r>
    </w:p>
    <w:p w14:paraId="2B24B7F9"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Prețurile materiilor prime non-combustibile vor crește cu 2,5% în 2025, în principal din cauza creșterii prețurilor la produsele alimentare și băuturi, influențate de condițiile meteorologice nefavorabile care afectează principalii producători.</w:t>
      </w:r>
    </w:p>
    <w:p w14:paraId="411DE753" w14:textId="7151C35C" w:rsidR="005A3223" w:rsidRPr="00312485" w:rsidRDefault="005A3223" w:rsidP="005A3223">
      <w:pPr>
        <w:tabs>
          <w:tab w:val="left" w:pos="993"/>
        </w:tabs>
        <w:ind w:firstLine="567"/>
        <w:rPr>
          <w:bCs/>
          <w:sz w:val="16"/>
          <w:szCs w:val="28"/>
          <w:lang w:val="ro-MD"/>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7"/>
        <w:gridCol w:w="410"/>
        <w:gridCol w:w="4492"/>
      </w:tblGrid>
      <w:tr w:rsidR="005A3223" w:rsidRPr="00312485" w14:paraId="23FF1991" w14:textId="77777777" w:rsidTr="00C06319">
        <w:trPr>
          <w:trHeight w:val="352"/>
        </w:trPr>
        <w:tc>
          <w:tcPr>
            <w:tcW w:w="4664" w:type="dxa"/>
            <w:gridSpan w:val="2"/>
          </w:tcPr>
          <w:p w14:paraId="01DBF4A2" w14:textId="1D6AEAC8" w:rsidR="005A3223" w:rsidRPr="00312485" w:rsidRDefault="005A3223" w:rsidP="00507FE7">
            <w:pPr>
              <w:autoSpaceDE w:val="0"/>
              <w:autoSpaceDN w:val="0"/>
              <w:adjustRightInd w:val="0"/>
              <w:jc w:val="center"/>
              <w:rPr>
                <w:rFonts w:ascii="Times New Roman" w:hAnsi="Times New Roman"/>
                <w:b/>
                <w:bCs/>
                <w:sz w:val="16"/>
                <w:szCs w:val="22"/>
                <w:lang w:val="ro-MD"/>
              </w:rPr>
            </w:pPr>
            <w:r w:rsidRPr="00312485">
              <w:rPr>
                <w:rFonts w:ascii="Times New Roman" w:hAnsi="Times New Roman"/>
                <w:b/>
                <w:bCs/>
                <w:sz w:val="16"/>
                <w:szCs w:val="22"/>
                <w:lang w:val="ro-MD"/>
              </w:rPr>
              <w:t xml:space="preserve">Figura 1. Prognoza creșterii economice </w:t>
            </w:r>
          </w:p>
          <w:p w14:paraId="6E44A13F" w14:textId="77777777" w:rsidR="005A3223" w:rsidRPr="00312485" w:rsidRDefault="005A3223" w:rsidP="00507FE7">
            <w:pPr>
              <w:autoSpaceDE w:val="0"/>
              <w:autoSpaceDN w:val="0"/>
              <w:adjustRightInd w:val="0"/>
              <w:jc w:val="center"/>
              <w:rPr>
                <w:b/>
                <w:bCs/>
                <w:sz w:val="16"/>
                <w:szCs w:val="28"/>
                <w:lang w:val="ro-MD"/>
              </w:rPr>
            </w:pPr>
            <w:r w:rsidRPr="00312485">
              <w:rPr>
                <w:rFonts w:ascii="Times New Roman" w:hAnsi="Times New Roman"/>
                <w:b/>
                <w:bCs/>
                <w:sz w:val="16"/>
                <w:szCs w:val="22"/>
                <w:lang w:val="ro-MD"/>
              </w:rPr>
              <w:t>în țările UE și zona Euro</w:t>
            </w:r>
          </w:p>
        </w:tc>
        <w:tc>
          <w:tcPr>
            <w:tcW w:w="4465" w:type="dxa"/>
          </w:tcPr>
          <w:p w14:paraId="59EAE925" w14:textId="58DCC4D3" w:rsidR="005A3223" w:rsidRPr="00312485" w:rsidRDefault="005A3223" w:rsidP="00C06319">
            <w:pPr>
              <w:autoSpaceDE w:val="0"/>
              <w:autoSpaceDN w:val="0"/>
              <w:adjustRightInd w:val="0"/>
              <w:ind w:firstLine="0"/>
              <w:jc w:val="center"/>
              <w:rPr>
                <w:rFonts w:ascii="Times New Roman" w:hAnsi="Times New Roman"/>
                <w:b/>
                <w:bCs/>
                <w:sz w:val="16"/>
                <w:szCs w:val="22"/>
                <w:lang w:val="ro-MD"/>
              </w:rPr>
            </w:pPr>
            <w:r w:rsidRPr="00312485">
              <w:rPr>
                <w:rFonts w:ascii="Times New Roman" w:hAnsi="Times New Roman"/>
                <w:b/>
                <w:bCs/>
                <w:sz w:val="16"/>
                <w:szCs w:val="22"/>
                <w:lang w:val="ro-MD"/>
              </w:rPr>
              <w:t>Figura 2. Prognoza creșterii economice în economiile partenerilor comerciali principali ai Republicii Moldova</w:t>
            </w:r>
          </w:p>
        </w:tc>
      </w:tr>
      <w:tr w:rsidR="005A3223" w:rsidRPr="00312485" w14:paraId="4458985F" w14:textId="77777777" w:rsidTr="00134932">
        <w:trPr>
          <w:trHeight w:val="2954"/>
        </w:trPr>
        <w:tc>
          <w:tcPr>
            <w:tcW w:w="4664" w:type="dxa"/>
            <w:gridSpan w:val="2"/>
          </w:tcPr>
          <w:p w14:paraId="0C84A373" w14:textId="77777777" w:rsidR="005A3223" w:rsidRPr="00312485" w:rsidRDefault="005A3223" w:rsidP="00507FE7">
            <w:pPr>
              <w:autoSpaceDE w:val="0"/>
              <w:autoSpaceDN w:val="0"/>
              <w:adjustRightInd w:val="0"/>
              <w:spacing w:before="120" w:after="120"/>
              <w:ind w:firstLine="38"/>
              <w:rPr>
                <w:rFonts w:ascii="Cambria" w:hAnsi="Cambria" w:cs="Cambria"/>
                <w:color w:val="000000"/>
                <w:sz w:val="24"/>
                <w:szCs w:val="24"/>
                <w:lang w:val="ro-MD"/>
              </w:rPr>
            </w:pPr>
            <w:r w:rsidRPr="00312485">
              <w:rPr>
                <w:rFonts w:ascii="Arial Nova Cond" w:hAnsi="Arial Nova Cond" w:cs="Cambria"/>
                <w:noProof/>
                <w:color w:val="000000"/>
                <w:lang w:val="ro-RO" w:eastAsia="ro-RO"/>
              </w:rPr>
              <w:drawing>
                <wp:inline distT="0" distB="0" distL="0" distR="0" wp14:anchorId="7E8609B2" wp14:editId="1D0CABB4">
                  <wp:extent cx="2782570" cy="1677725"/>
                  <wp:effectExtent l="0" t="0" r="17780" b="17780"/>
                  <wp:docPr id="5" name="Диаграмма 5">
                    <a:extLst xmlns:a="http://schemas.openxmlformats.org/drawingml/2006/main">
                      <a:ext uri="{FF2B5EF4-FFF2-40B4-BE49-F238E27FC236}">
                        <a16:creationId xmlns:a16="http://schemas.microsoft.com/office/drawing/2014/main" id="{CE08A7D2-60EF-4044-8B66-71DE0BB3DB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465" w:type="dxa"/>
          </w:tcPr>
          <w:p w14:paraId="577F2919" w14:textId="77777777" w:rsidR="005A3223" w:rsidRPr="00312485" w:rsidRDefault="005A3223" w:rsidP="00507FE7">
            <w:pPr>
              <w:autoSpaceDE w:val="0"/>
              <w:autoSpaceDN w:val="0"/>
              <w:adjustRightInd w:val="0"/>
              <w:spacing w:before="120" w:after="120"/>
              <w:ind w:firstLine="73"/>
              <w:rPr>
                <w:rFonts w:ascii="Cambria" w:hAnsi="Cambria" w:cs="Cambria"/>
                <w:color w:val="000000"/>
                <w:sz w:val="24"/>
                <w:szCs w:val="24"/>
                <w:lang w:val="ro-MD"/>
              </w:rPr>
            </w:pPr>
            <w:r w:rsidRPr="00312485">
              <w:rPr>
                <w:rFonts w:ascii="Arial Nova Cond" w:hAnsi="Arial Nova Cond" w:cs="Cambria"/>
                <w:noProof/>
                <w:color w:val="000000"/>
                <w:lang w:val="ro-RO" w:eastAsia="ro-RO"/>
              </w:rPr>
              <w:drawing>
                <wp:inline distT="0" distB="0" distL="0" distR="0" wp14:anchorId="604674B4" wp14:editId="25BD44FC">
                  <wp:extent cx="2671445" cy="1765189"/>
                  <wp:effectExtent l="0" t="0" r="14605" b="6985"/>
                  <wp:docPr id="3" name="Диаграмма 7">
                    <a:extLst xmlns:a="http://schemas.openxmlformats.org/drawingml/2006/main">
                      <a:ext uri="{FF2B5EF4-FFF2-40B4-BE49-F238E27FC236}">
                        <a16:creationId xmlns:a16="http://schemas.microsoft.com/office/drawing/2014/main" id="{065A825D-EA4E-464C-8605-2202EBCA59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5A3223" w:rsidRPr="00312485" w14:paraId="3406A8CA" w14:textId="77777777" w:rsidTr="00565974">
        <w:trPr>
          <w:trHeight w:val="260"/>
        </w:trPr>
        <w:tc>
          <w:tcPr>
            <w:tcW w:w="4253" w:type="dxa"/>
          </w:tcPr>
          <w:p w14:paraId="15DA4AC2" w14:textId="77777777" w:rsidR="005A3223" w:rsidRPr="00312485" w:rsidRDefault="005A3223" w:rsidP="00E822FB">
            <w:pPr>
              <w:autoSpaceDE w:val="0"/>
              <w:autoSpaceDN w:val="0"/>
              <w:adjustRightInd w:val="0"/>
              <w:ind w:firstLine="28"/>
              <w:jc w:val="left"/>
              <w:rPr>
                <w:rFonts w:ascii="Times New Roman" w:hAnsi="Times New Roman"/>
                <w:i/>
                <w:color w:val="000000"/>
                <w:sz w:val="16"/>
                <w:szCs w:val="18"/>
                <w:lang w:val="ro-MD"/>
              </w:rPr>
            </w:pPr>
            <w:r w:rsidRPr="00312485">
              <w:rPr>
                <w:rFonts w:ascii="Times New Roman" w:hAnsi="Times New Roman"/>
                <w:i/>
                <w:color w:val="000000"/>
                <w:sz w:val="16"/>
                <w:szCs w:val="18"/>
                <w:lang w:val="ro-MD"/>
              </w:rPr>
              <w:t>Sursă: prognoza Comisiei  Europene din toamna 2024</w:t>
            </w:r>
          </w:p>
        </w:tc>
        <w:tc>
          <w:tcPr>
            <w:tcW w:w="4876" w:type="dxa"/>
            <w:gridSpan w:val="2"/>
          </w:tcPr>
          <w:p w14:paraId="7272AA92" w14:textId="77777777" w:rsidR="005A3223" w:rsidRPr="00312485" w:rsidRDefault="005A3223" w:rsidP="00565974">
            <w:pPr>
              <w:autoSpaceDE w:val="0"/>
              <w:autoSpaceDN w:val="0"/>
              <w:adjustRightInd w:val="0"/>
              <w:ind w:firstLine="44"/>
              <w:rPr>
                <w:rFonts w:ascii="Times New Roman" w:hAnsi="Times New Roman"/>
                <w:i/>
                <w:color w:val="000000"/>
                <w:sz w:val="16"/>
                <w:szCs w:val="18"/>
                <w:lang w:val="ro-MD"/>
              </w:rPr>
            </w:pPr>
            <w:r w:rsidRPr="00312485">
              <w:rPr>
                <w:rFonts w:ascii="Times New Roman" w:hAnsi="Times New Roman"/>
                <w:i/>
                <w:color w:val="000000"/>
                <w:sz w:val="16"/>
                <w:szCs w:val="18"/>
                <w:lang w:val="ro-MD"/>
              </w:rPr>
              <w:t>Sursă: prognoza Comisiei  Europene din toamna 2024, prognoza MDED</w:t>
            </w:r>
          </w:p>
        </w:tc>
      </w:tr>
    </w:tbl>
    <w:p w14:paraId="694CAB94" w14:textId="77777777" w:rsidR="00C30A8E" w:rsidRPr="00312485" w:rsidRDefault="00C30A8E" w:rsidP="005A3223">
      <w:pPr>
        <w:ind w:firstLine="567"/>
        <w:rPr>
          <w:b/>
          <w:bCs/>
          <w:sz w:val="24"/>
          <w:szCs w:val="24"/>
          <w:lang w:val="ro-MD"/>
        </w:rPr>
      </w:pPr>
    </w:p>
    <w:p w14:paraId="39A5CD56" w14:textId="258B3A6A" w:rsidR="005A3223" w:rsidRPr="00312485" w:rsidRDefault="005A3223" w:rsidP="005A3223">
      <w:pPr>
        <w:ind w:firstLine="567"/>
        <w:rPr>
          <w:b/>
          <w:bCs/>
          <w:sz w:val="24"/>
          <w:szCs w:val="24"/>
          <w:lang w:val="ro-MD"/>
        </w:rPr>
      </w:pPr>
      <w:r w:rsidRPr="00312485">
        <w:rPr>
          <w:b/>
          <w:bCs/>
          <w:sz w:val="24"/>
          <w:szCs w:val="24"/>
          <w:lang w:val="ro-MD"/>
        </w:rPr>
        <w:lastRenderedPageBreak/>
        <w:t>B. Economia Republicii Moldova – evoluții recente și perspective</w:t>
      </w:r>
    </w:p>
    <w:p w14:paraId="457A3CF1" w14:textId="77777777" w:rsidR="005A3223" w:rsidRPr="00312485" w:rsidRDefault="005A3223" w:rsidP="005A3223">
      <w:pPr>
        <w:tabs>
          <w:tab w:val="left" w:pos="567"/>
        </w:tabs>
        <w:ind w:left="567" w:hanging="567"/>
        <w:rPr>
          <w:b/>
          <w:bCs/>
          <w:i/>
          <w:sz w:val="24"/>
          <w:szCs w:val="28"/>
          <w:lang w:val="ro-MD"/>
        </w:rPr>
      </w:pPr>
      <w:r w:rsidRPr="00312485">
        <w:rPr>
          <w:b/>
          <w:bCs/>
          <w:i/>
          <w:sz w:val="24"/>
          <w:szCs w:val="28"/>
          <w:lang w:val="ro-MD"/>
        </w:rPr>
        <w:tab/>
      </w:r>
    </w:p>
    <w:p w14:paraId="682A9A7F" w14:textId="03B28E91" w:rsidR="005A3223" w:rsidRPr="00312485" w:rsidRDefault="005A3223" w:rsidP="009925A7">
      <w:pPr>
        <w:tabs>
          <w:tab w:val="left" w:pos="0"/>
        </w:tabs>
        <w:ind w:right="57" w:firstLine="567"/>
        <w:rPr>
          <w:b/>
          <w:bCs/>
          <w:i/>
          <w:sz w:val="24"/>
          <w:szCs w:val="28"/>
          <w:lang w:val="ro-MD"/>
        </w:rPr>
      </w:pPr>
      <w:r w:rsidRPr="00312485">
        <w:rPr>
          <w:b/>
          <w:bCs/>
          <w:i/>
          <w:sz w:val="24"/>
          <w:szCs w:val="28"/>
          <w:lang w:val="ro-MD"/>
        </w:rPr>
        <w:t>Proiecții macroeconomice actualizate pe anul 2025 și perspectivele pentru anii 2026-2028</w:t>
      </w:r>
    </w:p>
    <w:p w14:paraId="4575EB81" w14:textId="29FBF24B" w:rsidR="005A3223" w:rsidRPr="00312485" w:rsidRDefault="005A3223" w:rsidP="009925A7">
      <w:pPr>
        <w:tabs>
          <w:tab w:val="left" w:pos="993"/>
        </w:tabs>
        <w:ind w:firstLine="567"/>
        <w:rPr>
          <w:bCs/>
          <w:sz w:val="24"/>
          <w:szCs w:val="28"/>
          <w:lang w:val="ro-MD"/>
        </w:rPr>
      </w:pPr>
      <w:r w:rsidRPr="00312485">
        <w:rPr>
          <w:bCs/>
          <w:sz w:val="24"/>
          <w:szCs w:val="28"/>
          <w:lang w:val="ro-MD"/>
        </w:rPr>
        <w:t>În ianuarie 2025, economia Republicii Moldova a resimțit efectele crizei energetice declanșate de întreruperea tranzitului de gaze naturale prin Ucraina. Acest fapt a condus la o creștere a tarifelor la energia electrică pentru consumatorii finali, cu aproximativ 75%, amplificând presiunile asupra costurilor de producție și a nivelului general al prețurilor în economie. În acest context, prognoza macroeconomică a fost revizuită în sens descendent, reflectând impactul negativ al scumpirii energiei asupra activității economice.</w:t>
      </w:r>
    </w:p>
    <w:p w14:paraId="5233A044" w14:textId="6F584045" w:rsidR="006D6C20" w:rsidRPr="00312485" w:rsidRDefault="006D6C20" w:rsidP="005A3223">
      <w:pPr>
        <w:tabs>
          <w:tab w:val="left" w:pos="993"/>
        </w:tabs>
        <w:ind w:firstLine="567"/>
        <w:rPr>
          <w:bCs/>
          <w:sz w:val="24"/>
          <w:szCs w:val="28"/>
          <w:lang w:val="ro-MD"/>
        </w:rPr>
      </w:pPr>
      <w:r w:rsidRPr="00312485">
        <w:rPr>
          <w:bCs/>
          <w:sz w:val="24"/>
          <w:szCs w:val="28"/>
          <w:lang w:val="ro-MD"/>
        </w:rPr>
        <w:t xml:space="preserve">Potrivit </w:t>
      </w:r>
      <w:r w:rsidR="00AB4F5A">
        <w:rPr>
          <w:bCs/>
          <w:sz w:val="24"/>
          <w:szCs w:val="28"/>
          <w:lang w:val="ro-MD"/>
        </w:rPr>
        <w:t xml:space="preserve">estimărilor </w:t>
      </w:r>
      <w:r w:rsidRPr="00312485">
        <w:rPr>
          <w:bCs/>
          <w:sz w:val="24"/>
          <w:szCs w:val="28"/>
          <w:lang w:val="ro-MD"/>
        </w:rPr>
        <w:t>Băncii Naționale a Moldovei, rata anuală a inflației care a depășit limita superioară a intervalului țintă în primul trimestru al anului 2025 (atingând 8,7%), este așteptată să scadă treptat. Se estimează că aceasta va reveni în intervalul țintă până în trimestrul IV al anului 2025 (6,</w:t>
      </w:r>
      <w:r w:rsidR="00506C2C" w:rsidRPr="00312485">
        <w:rPr>
          <w:bCs/>
          <w:sz w:val="24"/>
          <w:szCs w:val="28"/>
          <w:lang w:val="ro-MD"/>
        </w:rPr>
        <w:t>1</w:t>
      </w:r>
      <w:r w:rsidRPr="00312485">
        <w:rPr>
          <w:bCs/>
          <w:sz w:val="24"/>
          <w:szCs w:val="28"/>
          <w:lang w:val="ro-MD"/>
        </w:rPr>
        <w:t>%) și va rămâne în interval până la sfârșitul perioadei de prognoză.</w:t>
      </w:r>
    </w:p>
    <w:p w14:paraId="28BB6FD5" w14:textId="5101EED1" w:rsidR="005A3223" w:rsidRPr="00312485" w:rsidRDefault="005A3223" w:rsidP="005A3223">
      <w:pPr>
        <w:tabs>
          <w:tab w:val="left" w:pos="993"/>
        </w:tabs>
        <w:ind w:firstLine="567"/>
        <w:rPr>
          <w:bCs/>
          <w:sz w:val="24"/>
          <w:szCs w:val="28"/>
          <w:lang w:val="ro-MD"/>
        </w:rPr>
      </w:pPr>
      <w:r w:rsidRPr="00312485">
        <w:rPr>
          <w:bCs/>
          <w:sz w:val="24"/>
          <w:szCs w:val="28"/>
          <w:lang w:val="ro-MD"/>
        </w:rPr>
        <w:t xml:space="preserve">În pofida acestor provocări, se prevede o creștere reală a </w:t>
      </w:r>
      <w:r w:rsidRPr="00312485">
        <w:rPr>
          <w:b/>
          <w:bCs/>
          <w:i/>
          <w:sz w:val="24"/>
          <w:szCs w:val="28"/>
          <w:lang w:val="ro-MD"/>
        </w:rPr>
        <w:t>Produsului intern brut</w:t>
      </w:r>
      <w:r w:rsidRPr="00312485">
        <w:rPr>
          <w:bCs/>
          <w:sz w:val="24"/>
          <w:szCs w:val="28"/>
          <w:lang w:val="ro-MD"/>
        </w:rPr>
        <w:t xml:space="preserve"> estimată la aproximativ 2% în anul 2025, cu 1 p</w:t>
      </w:r>
      <w:r w:rsidR="004F29D0" w:rsidRPr="00312485">
        <w:rPr>
          <w:bCs/>
          <w:sz w:val="24"/>
          <w:szCs w:val="28"/>
          <w:lang w:val="ro-MD"/>
        </w:rPr>
        <w:t>unct procentual</w:t>
      </w:r>
      <w:r w:rsidRPr="00312485">
        <w:rPr>
          <w:bCs/>
          <w:sz w:val="24"/>
          <w:szCs w:val="28"/>
          <w:lang w:val="ro-MD"/>
        </w:rPr>
        <w:t xml:space="preserve"> mai puțin decât a fost estimat în prognoza din  toamnă și va fi susținută de o serie de factori pozitivi, printre care redresarea sectorului agricol, dinamica favorabilă a serviciilor orientate spre export, relansarea investițiilor private și măsurile de sprijin pentru dezvoltarea economică prevăzute în Planul de Creștere Economică a Moldovei. Aceste evoluții vor contribui la atenuarea impactului negativ al șocului energetic și la consolidarea bazelor pentru o creștere economică sustenabilă pe termen mediu.</w:t>
      </w:r>
    </w:p>
    <w:p w14:paraId="39BE0F27"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 xml:space="preserve">După un an marcat de secetă severă, se preconizează o redresare parțială a </w:t>
      </w:r>
      <w:r w:rsidRPr="00312485">
        <w:rPr>
          <w:b/>
          <w:bCs/>
          <w:i/>
          <w:sz w:val="24"/>
          <w:szCs w:val="28"/>
          <w:lang w:val="ro-MD"/>
        </w:rPr>
        <w:t>sectorului agricol</w:t>
      </w:r>
      <w:r w:rsidRPr="00312485">
        <w:rPr>
          <w:bCs/>
          <w:sz w:val="24"/>
          <w:szCs w:val="28"/>
          <w:lang w:val="ro-MD"/>
        </w:rPr>
        <w:t>, cu o creștere estimată de aproximativ 11%. Această evoluție pozitivă nu va fi determinată exclusiv de recuperarea producției vegetale, ci și de contribuția tot mai importantă a sectorului zootehnic. Acesta din urmă își va continua traiectoria ascendentă începută în anul precedent, impulsionată de programele de sprijin implementate de autorități, menite să stimuleze investițiile și dezvoltarea durabilă în domeniul agricol. Cu toate acestea, persistența incertitudinilor legate de condițiile climatice reprezintă în continuare un factor de risc major, care ar putea influența negativ atât volumul, cât și calitatea producției agricole.</w:t>
      </w:r>
    </w:p>
    <w:p w14:paraId="4B581DAA"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Sectorul agricol va continua trendul pozitiv și în perioada 2026–2028, beneficiind de investițiile în irigații, tehnologii moderne și sprijinul continuu oferit fermierilor prin subvenții și programe de dezvoltare rurală. Totuși, dată fiind baza statistică înaltă pentru 2025, ritmurile de creștere se vor tempera și se vor încadra în intervalul 1-2% anual, cu aport atât din producția vegetală, cât și din sectorul zootehnic, în condițiile menținerii unor condiții climatice favorabile. Totodată, consolidarea lanțurilor valorice și creșterea accesului la piețele externe, care vor contribui la creșterea exporturilor agroalimentare, va fi un factor care va favoriza impulsionarea activității agricole.</w:t>
      </w:r>
    </w:p>
    <w:p w14:paraId="0E76DC13" w14:textId="18A8FE2C" w:rsidR="005A3223" w:rsidRPr="00312485" w:rsidRDefault="005A3223" w:rsidP="005A3223">
      <w:pPr>
        <w:tabs>
          <w:tab w:val="left" w:pos="993"/>
        </w:tabs>
        <w:ind w:firstLine="567"/>
        <w:rPr>
          <w:bCs/>
          <w:sz w:val="24"/>
          <w:szCs w:val="28"/>
          <w:lang w:val="ro-MD"/>
        </w:rPr>
      </w:pPr>
      <w:r w:rsidRPr="00312485">
        <w:rPr>
          <w:b/>
          <w:bCs/>
          <w:i/>
          <w:sz w:val="24"/>
          <w:szCs w:val="28"/>
          <w:lang w:val="ro-MD"/>
        </w:rPr>
        <w:t>Sectorul industrial</w:t>
      </w:r>
      <w:r w:rsidRPr="00312485">
        <w:rPr>
          <w:bCs/>
          <w:sz w:val="24"/>
          <w:szCs w:val="28"/>
          <w:lang w:val="ro-MD"/>
        </w:rPr>
        <w:t xml:space="preserve"> este prognozat să revină pe un trend crescător în 2025, cu o creștere estimată de 2,5–3%, susținută în mare măsură de majorarea capacității de producție ca urmare a investițiilor realizate în 2024. Aceste investiții au vizat modernizarea echipamentelor, extinderea liniilor de producție și implementarea unor tehnologii avansate, consolidând astfel competitivitatea și eficiența sectorului. Totodată, redresarea cererii interne, impulsionată de creșterea veniturilor populației și a consumului, precum și intensificarea cererii externe pentru produse manufacturate moldovenești vor contribui la dinamizarea producției industriale. </w:t>
      </w:r>
    </w:p>
    <w:p w14:paraId="00E58C2A"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De asemenea, un factor important îl reprezintă dezvoltarea parcurilor industriale și atragerea investițiilor străine directe, în special în industriile cu valoare adăugată înaltă, precum industria alimentară, electronică și cea a componentelor auto. Sprijinul guvernamental prin politici de stimulare fiscală, programe de susținere a întreprinderilor mici și mijlocii, dar și facilități pentru digitalizare, reprezintă, la rândul lor, un catalizator important al activității industriale.</w:t>
      </w:r>
    </w:p>
    <w:p w14:paraId="013ED0C6" w14:textId="255494C4" w:rsidR="005A3223" w:rsidRPr="00312485" w:rsidRDefault="005A3223" w:rsidP="005A3223">
      <w:pPr>
        <w:tabs>
          <w:tab w:val="left" w:pos="993"/>
        </w:tabs>
        <w:ind w:firstLine="567"/>
        <w:rPr>
          <w:bCs/>
          <w:sz w:val="24"/>
          <w:szCs w:val="28"/>
          <w:lang w:val="ro-MD"/>
        </w:rPr>
      </w:pPr>
      <w:r w:rsidRPr="00312485">
        <w:rPr>
          <w:bCs/>
          <w:sz w:val="24"/>
          <w:szCs w:val="28"/>
          <w:lang w:val="ro-MD"/>
        </w:rPr>
        <w:lastRenderedPageBreak/>
        <w:t xml:space="preserve">Sectorul industrial va înregistra o accelerare progresivă pe termen mediu, cu un ritm de creștere mediu anual de 3–3,5%, stimulat de implementarea Programului de industrializare și a Mecanismului de ajutor de stat pentru investiții în industria prelucrătoare. </w:t>
      </w:r>
    </w:p>
    <w:p w14:paraId="4B5A1E86" w14:textId="75C5094F" w:rsidR="005A3223" w:rsidRPr="00312485" w:rsidRDefault="005A3223" w:rsidP="005A3223">
      <w:pPr>
        <w:tabs>
          <w:tab w:val="left" w:pos="993"/>
        </w:tabs>
        <w:ind w:firstLine="567"/>
        <w:rPr>
          <w:bCs/>
          <w:sz w:val="24"/>
          <w:szCs w:val="28"/>
          <w:lang w:val="ro-MD"/>
        </w:rPr>
      </w:pPr>
      <w:r w:rsidRPr="00312485">
        <w:rPr>
          <w:b/>
          <w:bCs/>
          <w:i/>
          <w:sz w:val="24"/>
          <w:szCs w:val="28"/>
          <w:lang w:val="ro-MD"/>
        </w:rPr>
        <w:t>Sectorul serviciilor</w:t>
      </w:r>
      <w:r w:rsidR="006744D9" w:rsidRPr="00312485">
        <w:rPr>
          <w:bCs/>
          <w:sz w:val="24"/>
          <w:szCs w:val="28"/>
          <w:lang w:val="ro-MD"/>
        </w:rPr>
        <w:t xml:space="preserve"> </w:t>
      </w:r>
      <w:r w:rsidRPr="00312485">
        <w:rPr>
          <w:bCs/>
          <w:sz w:val="24"/>
          <w:szCs w:val="28"/>
          <w:lang w:val="ro-MD"/>
        </w:rPr>
        <w:t>va continua să fie un pilon important al creșterii economice în 2025, cu o rată medie de expansiune estimată la circa 1,5%. Domeniile-cheie</w:t>
      </w:r>
      <w:r w:rsidR="0093753A" w:rsidRPr="00312485">
        <w:rPr>
          <w:bCs/>
          <w:sz w:val="24"/>
          <w:szCs w:val="28"/>
          <w:lang w:val="ro-MD"/>
        </w:rPr>
        <w:t>,</w:t>
      </w:r>
      <w:r w:rsidRPr="00312485">
        <w:rPr>
          <w:bCs/>
          <w:sz w:val="24"/>
          <w:szCs w:val="28"/>
          <w:lang w:val="ro-MD"/>
        </w:rPr>
        <w:t xml:space="preserve"> precum Tehnologia Informației (IT), Business </w:t>
      </w:r>
      <w:proofErr w:type="spellStart"/>
      <w:r w:rsidRPr="00312485">
        <w:rPr>
          <w:bCs/>
          <w:sz w:val="24"/>
          <w:szCs w:val="28"/>
          <w:lang w:val="ro-MD"/>
        </w:rPr>
        <w:t>Process</w:t>
      </w:r>
      <w:proofErr w:type="spellEnd"/>
      <w:r w:rsidRPr="00312485">
        <w:rPr>
          <w:bCs/>
          <w:sz w:val="24"/>
          <w:szCs w:val="28"/>
          <w:lang w:val="ro-MD"/>
        </w:rPr>
        <w:t xml:space="preserve"> Outsourcing (BPO) și </w:t>
      </w:r>
      <w:proofErr w:type="spellStart"/>
      <w:r w:rsidRPr="00312485">
        <w:rPr>
          <w:bCs/>
          <w:sz w:val="24"/>
          <w:szCs w:val="28"/>
          <w:lang w:val="ro-MD"/>
        </w:rPr>
        <w:t>HoReCa</w:t>
      </w:r>
      <w:proofErr w:type="spellEnd"/>
      <w:r w:rsidRPr="00312485">
        <w:rPr>
          <w:bCs/>
          <w:sz w:val="24"/>
          <w:szCs w:val="28"/>
          <w:lang w:val="ro-MD"/>
        </w:rPr>
        <w:t xml:space="preserve"> vor beneficia de o cerere globală în creștere pentru servicii digitale și soluții de externalizare, în special în contextul relocării activităților din regiuni mai costisitoare.</w:t>
      </w:r>
    </w:p>
    <w:p w14:paraId="5B51DB7C"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Serviciile vor rămâne principalul motor al creșterii economice și în anii 2026-2028, cu o pondere stabilă de peste 60% din PIB. Se estimează o creștere medie de 1,5-2% pe an. Facilitățile fiscale oferite și costurile competitive ale forței de muncă vor atrage noi companii, iar digitalizarea administrației publice și a economiei va stimula cererea pentru servicii tehnologice. De asemenea, se așteaptă extinderea serviciilor financiare și logistice, în contextul creșterii schimburilor comerciale.</w:t>
      </w:r>
    </w:p>
    <w:p w14:paraId="6E5E17F5" w14:textId="202B46DD" w:rsidR="005A3223" w:rsidRPr="00312485" w:rsidRDefault="005A3223" w:rsidP="005A3223">
      <w:pPr>
        <w:tabs>
          <w:tab w:val="left" w:pos="993"/>
        </w:tabs>
        <w:ind w:firstLine="567"/>
        <w:rPr>
          <w:bCs/>
          <w:sz w:val="24"/>
          <w:szCs w:val="28"/>
          <w:lang w:val="ro-MD"/>
        </w:rPr>
      </w:pPr>
      <w:r w:rsidRPr="00312485">
        <w:rPr>
          <w:bCs/>
          <w:sz w:val="24"/>
          <w:szCs w:val="28"/>
          <w:lang w:val="ro-MD"/>
        </w:rPr>
        <w:t>De asemenea, se așteaptă ca investițiile private să se mențină pe un trend crescător pe parcursul anului 2025 (+3% – 4%), susținute în principal de implementarea Programului de industrializare, în special a mecanismului de ajutor de stat pentru investiții în cele șase sectoare prioritare ale industriei prelucrătoare: industria alimentară, chimică și farmaceutică, a materialelor de construcție, electronică, textilă și de îmbrăcăminte, precum și cea constructoare de mașini și componente auto.</w:t>
      </w:r>
    </w:p>
    <w:p w14:paraId="2ACA1222" w14:textId="77777777" w:rsidR="005A3223" w:rsidRPr="00312485" w:rsidRDefault="005A3223" w:rsidP="005A3223">
      <w:pPr>
        <w:tabs>
          <w:tab w:val="left" w:pos="993"/>
        </w:tabs>
        <w:ind w:firstLine="567"/>
        <w:rPr>
          <w:bCs/>
          <w:sz w:val="24"/>
          <w:szCs w:val="28"/>
          <w:lang w:val="ro-MD"/>
        </w:rPr>
      </w:pPr>
      <w:r w:rsidRPr="00312485">
        <w:rPr>
          <w:b/>
          <w:bCs/>
          <w:i/>
          <w:sz w:val="24"/>
          <w:szCs w:val="28"/>
          <w:lang w:val="ro-MD"/>
        </w:rPr>
        <w:t>Investițiile</w:t>
      </w:r>
      <w:r w:rsidRPr="00312485">
        <w:rPr>
          <w:bCs/>
          <w:sz w:val="24"/>
          <w:szCs w:val="28"/>
          <w:lang w:val="ro-MD"/>
        </w:rPr>
        <w:t xml:space="preserve"> vor rămâne un vector central al dezvoltării economice pe termen mediu (2026-2028), cu o creștere medie de 3-4% anual, alimentată de programele guvernamentale de sprijin și interesul investitorilor pentru proiecte industriale și de infrastructură. Implementarea reformelor din Planul de Creștere Economică va stimula investițiile în infrastructură, energie regenerabilă și digitalizare. Totodată, se vor extinde instrumentele financiare pentru IMM-uri, inclusiv accesul la credite investiționale avantajoase prin intermediul ODA și parteneriatele public-private.</w:t>
      </w:r>
    </w:p>
    <w:p w14:paraId="25266D35" w14:textId="5AD2E2E4" w:rsidR="005A3223" w:rsidRPr="00312485" w:rsidRDefault="005A3223" w:rsidP="005A3223">
      <w:pPr>
        <w:tabs>
          <w:tab w:val="left" w:pos="993"/>
        </w:tabs>
        <w:ind w:firstLine="567"/>
        <w:rPr>
          <w:bCs/>
          <w:sz w:val="24"/>
          <w:szCs w:val="28"/>
          <w:lang w:val="ro-MD"/>
        </w:rPr>
      </w:pPr>
      <w:r w:rsidRPr="00312485">
        <w:rPr>
          <w:b/>
          <w:bCs/>
          <w:i/>
          <w:sz w:val="24"/>
          <w:szCs w:val="28"/>
          <w:lang w:val="ro-MD"/>
        </w:rPr>
        <w:t>Exporturile</w:t>
      </w:r>
      <w:r w:rsidRPr="00312485">
        <w:rPr>
          <w:bCs/>
          <w:sz w:val="24"/>
          <w:szCs w:val="28"/>
          <w:lang w:val="ro-MD"/>
        </w:rPr>
        <w:t xml:space="preserve"> se vor majora cu circa 8% în anul 2025, susținute în principal de revigorarea sectorului agricol după seceta severă din 2024, ceea ce va impulsiona livrările externe de produse agroalimentare, în special către piețele din Uniunea Europeană. Totodată, consolidarea relațiilor comerciale, extinderea accesului pe noi piețe și valorificarea acordurilor de liber schimb vor contribui la diversificarea structurii exporturilor.</w:t>
      </w:r>
    </w:p>
    <w:p w14:paraId="4E384F56" w14:textId="77777777" w:rsidR="005A3223" w:rsidRPr="00312485" w:rsidRDefault="005A3223" w:rsidP="005A3223">
      <w:pPr>
        <w:tabs>
          <w:tab w:val="left" w:pos="993"/>
        </w:tabs>
        <w:ind w:firstLine="567"/>
        <w:rPr>
          <w:bCs/>
          <w:sz w:val="24"/>
          <w:szCs w:val="28"/>
          <w:lang w:val="ro-MD"/>
        </w:rPr>
      </w:pPr>
      <w:r w:rsidRPr="00312485">
        <w:rPr>
          <w:bCs/>
          <w:sz w:val="24"/>
          <w:szCs w:val="28"/>
          <w:lang w:val="ro-MD"/>
        </w:rPr>
        <w:t xml:space="preserve">Exporturile vor continua să crească cu un ritm mediu de 6–8% anual, susținute de diversificarea produselor și piețelor de desfacere, precum și de aprofundarea relațiilor comerciale cu Uniunea Europeană. Sectoarele agroalimentar și industrial vor avea o contribuție importantă, iar integrarea treptată în piața unică europeană va facilita accesul la noi oportunități comerciale. </w:t>
      </w:r>
      <w:r w:rsidRPr="00312485">
        <w:rPr>
          <w:b/>
          <w:bCs/>
          <w:i/>
          <w:sz w:val="24"/>
          <w:szCs w:val="28"/>
          <w:lang w:val="ro-MD"/>
        </w:rPr>
        <w:t>Importurile</w:t>
      </w:r>
      <w:r w:rsidRPr="00312485">
        <w:rPr>
          <w:bCs/>
          <w:sz w:val="24"/>
          <w:szCs w:val="28"/>
          <w:lang w:val="ro-MD"/>
        </w:rPr>
        <w:t xml:space="preserve"> vor crește într-un ritm ușor mai moderat (4-6% anual), reflectând dinamica consumului intern și a investițiilor.</w:t>
      </w:r>
    </w:p>
    <w:p w14:paraId="35B84801" w14:textId="4BD1413A" w:rsidR="005A3223" w:rsidRPr="00312485" w:rsidRDefault="005A3223" w:rsidP="005A3223">
      <w:pPr>
        <w:tabs>
          <w:tab w:val="left" w:pos="993"/>
        </w:tabs>
        <w:ind w:firstLine="567"/>
        <w:rPr>
          <w:bCs/>
          <w:sz w:val="24"/>
          <w:szCs w:val="28"/>
          <w:lang w:val="ro-MD"/>
        </w:rPr>
      </w:pPr>
      <w:r w:rsidRPr="00312485">
        <w:rPr>
          <w:bCs/>
          <w:sz w:val="24"/>
          <w:szCs w:val="28"/>
          <w:lang w:val="ro-MD"/>
        </w:rPr>
        <w:t>Prin implementarea Plan</w:t>
      </w:r>
      <w:r w:rsidR="00833B04" w:rsidRPr="00312485">
        <w:rPr>
          <w:bCs/>
          <w:sz w:val="24"/>
          <w:szCs w:val="28"/>
          <w:lang w:val="ro-MD"/>
        </w:rPr>
        <w:t xml:space="preserve">ului de Creștere Economică </w:t>
      </w:r>
      <w:r w:rsidRPr="00312485">
        <w:rPr>
          <w:bCs/>
          <w:sz w:val="24"/>
          <w:szCs w:val="28"/>
          <w:lang w:val="ro-MD"/>
        </w:rPr>
        <w:t xml:space="preserve">se estimează stimularea </w:t>
      </w:r>
      <w:r w:rsidRPr="00312485">
        <w:rPr>
          <w:b/>
          <w:bCs/>
          <w:i/>
          <w:sz w:val="24"/>
          <w:szCs w:val="28"/>
          <w:lang w:val="ro-MD"/>
        </w:rPr>
        <w:t>investițiilor</w:t>
      </w:r>
      <w:r w:rsidRPr="00312485">
        <w:rPr>
          <w:bCs/>
          <w:sz w:val="24"/>
          <w:szCs w:val="28"/>
          <w:lang w:val="ro-MD"/>
        </w:rPr>
        <w:t xml:space="preserve"> publice și private, creșterea productivității, accelerarea reformelor în domenii-cheie și, în final, îmbunătățirea calității vieții cetățenilor.</w:t>
      </w:r>
    </w:p>
    <w:p w14:paraId="38B7F50F" w14:textId="229D09BF" w:rsidR="00707B07" w:rsidRPr="00312485" w:rsidRDefault="005A3223" w:rsidP="00C30A8E">
      <w:pPr>
        <w:tabs>
          <w:tab w:val="left" w:pos="993"/>
        </w:tabs>
        <w:ind w:firstLine="567"/>
        <w:rPr>
          <w:bCs/>
          <w:sz w:val="24"/>
          <w:szCs w:val="28"/>
          <w:lang w:val="ro-MD"/>
        </w:rPr>
      </w:pPr>
      <w:r w:rsidRPr="00312485">
        <w:rPr>
          <w:bCs/>
          <w:sz w:val="24"/>
          <w:szCs w:val="28"/>
          <w:lang w:val="ro-MD"/>
        </w:rPr>
        <w:t>În perioada 2026–2028, economia Republicii Moldova va creștere cu un ritm cuprins între 2,5-3%, avansând către o fază de consolidare și convergență economică, valorificând oportunitățile oferite de parteneriatul cu Uniunea Europeană și implementarea reformelor structurale.</w:t>
      </w:r>
    </w:p>
    <w:p w14:paraId="5BFCD456" w14:textId="77777777" w:rsidR="00EB3FE7" w:rsidRPr="00312485" w:rsidRDefault="00EB3FE7" w:rsidP="00C30A8E">
      <w:pPr>
        <w:autoSpaceDE w:val="0"/>
        <w:autoSpaceDN w:val="0"/>
        <w:adjustRightInd w:val="0"/>
        <w:ind w:firstLine="0"/>
        <w:rPr>
          <w:sz w:val="24"/>
          <w:szCs w:val="24"/>
          <w:lang w:val="ro-MD"/>
        </w:rPr>
      </w:pPr>
    </w:p>
    <w:p w14:paraId="50F8C387" w14:textId="7AAD01A1" w:rsidR="00C30A8E" w:rsidRPr="00312485" w:rsidRDefault="00C30A8E" w:rsidP="00C30A8E">
      <w:pPr>
        <w:ind w:firstLine="567"/>
        <w:rPr>
          <w:b/>
          <w:bCs/>
          <w:sz w:val="24"/>
          <w:szCs w:val="24"/>
          <w:lang w:val="ro-MD"/>
        </w:rPr>
      </w:pPr>
      <w:r w:rsidRPr="00312485">
        <w:rPr>
          <w:b/>
          <w:bCs/>
          <w:sz w:val="24"/>
          <w:szCs w:val="24"/>
          <w:lang w:val="ro-MD"/>
        </w:rPr>
        <w:t xml:space="preserve">C. Riscuri interne, externe și </w:t>
      </w:r>
      <w:proofErr w:type="spellStart"/>
      <w:r w:rsidRPr="00312485">
        <w:rPr>
          <w:b/>
          <w:bCs/>
          <w:sz w:val="24"/>
          <w:szCs w:val="24"/>
          <w:lang w:val="ro-MD"/>
        </w:rPr>
        <w:t>macrobugetare</w:t>
      </w:r>
      <w:proofErr w:type="spellEnd"/>
      <w:r w:rsidRPr="00312485">
        <w:rPr>
          <w:b/>
          <w:bCs/>
          <w:sz w:val="24"/>
          <w:szCs w:val="24"/>
          <w:lang w:val="ro-MD"/>
        </w:rPr>
        <w:t xml:space="preserve"> pe termen mediu</w:t>
      </w:r>
    </w:p>
    <w:p w14:paraId="7271FEC3" w14:textId="77777777" w:rsidR="00C30A8E" w:rsidRPr="00312485" w:rsidRDefault="00C30A8E" w:rsidP="00C30A8E">
      <w:pPr>
        <w:shd w:val="clear" w:color="auto" w:fill="FFFFFF"/>
        <w:tabs>
          <w:tab w:val="left" w:pos="993"/>
        </w:tabs>
        <w:ind w:firstLine="567"/>
        <w:rPr>
          <w:bCs/>
          <w:sz w:val="24"/>
          <w:szCs w:val="28"/>
          <w:lang w:val="ro-MD"/>
        </w:rPr>
      </w:pPr>
    </w:p>
    <w:p w14:paraId="1A476E30" w14:textId="0BB74089" w:rsidR="00C30A8E" w:rsidRPr="00312485" w:rsidRDefault="00C30A8E" w:rsidP="00C30A8E">
      <w:pPr>
        <w:tabs>
          <w:tab w:val="left" w:pos="7371"/>
        </w:tabs>
        <w:spacing w:after="114"/>
        <w:ind w:left="17" w:right="95" w:firstLine="550"/>
        <w:rPr>
          <w:bCs/>
          <w:sz w:val="24"/>
          <w:szCs w:val="28"/>
          <w:lang w:val="ro-MD"/>
        </w:rPr>
      </w:pPr>
      <w:r w:rsidRPr="00312485">
        <w:rPr>
          <w:color w:val="000000"/>
          <w:sz w:val="24"/>
          <w:lang w:val="ro-MD"/>
        </w:rPr>
        <w:t>Scenariul de bază prezentat în CBTM (2026-2028) este supus anumitor riscuri, deși previziunile sunt optimiste, acestea pot influența negativ evoluția macro-fiscală</w:t>
      </w:r>
      <w:r w:rsidRPr="00312485">
        <w:rPr>
          <w:bCs/>
          <w:sz w:val="24"/>
          <w:szCs w:val="28"/>
          <w:lang w:val="ro-MD"/>
        </w:rPr>
        <w:t xml:space="preserve">, în funcție de probabilitatea de materializare și de intensitatea cu care sunt realizate aceste riscuri. Din motive </w:t>
      </w:r>
      <w:r w:rsidRPr="00312485">
        <w:rPr>
          <w:bCs/>
          <w:sz w:val="24"/>
          <w:szCs w:val="28"/>
          <w:lang w:val="ro-MD"/>
        </w:rPr>
        <w:lastRenderedPageBreak/>
        <w:t>de planificare prudentă la elaborarea cadrului macro-fiscal se ține cont și de aceste riscuri, ale căror detalii sunt descrise mai jos. Ca și în anul precedent, riscurile continuă să fie semnificativ ridicate, în special cele care provin din mediul extern, cu impact economic, politic și social, cele mai importante fiind următoarele.</w:t>
      </w:r>
    </w:p>
    <w:p w14:paraId="415AD7EB" w14:textId="77777777" w:rsidR="00C30A8E" w:rsidRPr="00312485" w:rsidRDefault="00C30A8E" w:rsidP="00C30A8E">
      <w:pPr>
        <w:tabs>
          <w:tab w:val="left" w:pos="142"/>
        </w:tabs>
        <w:ind w:firstLine="567"/>
        <w:rPr>
          <w:bCs/>
          <w:i/>
          <w:sz w:val="24"/>
          <w:szCs w:val="28"/>
          <w:lang w:val="ro-MD"/>
        </w:rPr>
      </w:pPr>
      <w:r w:rsidRPr="00312485">
        <w:rPr>
          <w:b/>
          <w:bCs/>
          <w:i/>
          <w:sz w:val="24"/>
          <w:szCs w:val="28"/>
          <w:lang w:val="ro-MD"/>
        </w:rPr>
        <w:t>Riscuri externe</w:t>
      </w:r>
      <w:r w:rsidRPr="00312485">
        <w:rPr>
          <w:bCs/>
          <w:i/>
          <w:sz w:val="24"/>
          <w:szCs w:val="28"/>
          <w:lang w:val="ro-MD"/>
        </w:rPr>
        <w:t>:</w:t>
      </w:r>
    </w:p>
    <w:p w14:paraId="551A19DA" w14:textId="77777777" w:rsidR="00C30A8E" w:rsidRPr="00312485" w:rsidRDefault="00C30A8E" w:rsidP="00F31A8C">
      <w:pPr>
        <w:ind w:firstLine="567"/>
        <w:rPr>
          <w:rFonts w:ascii="Calibri" w:eastAsia="Calibri" w:hAnsi="Calibri" w:cs="Calibri"/>
          <w:color w:val="000000"/>
          <w:lang w:val="ro-MD"/>
        </w:rPr>
      </w:pPr>
      <w:r w:rsidRPr="00312485">
        <w:rPr>
          <w:b/>
          <w:color w:val="000000"/>
          <w:sz w:val="24"/>
          <w:lang w:val="ro-MD"/>
        </w:rPr>
        <w:t xml:space="preserve">Mediul extern </w:t>
      </w:r>
      <w:r w:rsidRPr="00312485">
        <w:rPr>
          <w:color w:val="000000"/>
          <w:sz w:val="24"/>
          <w:lang w:val="ro-MD"/>
        </w:rPr>
        <w:t>continuă să prezinte un risc semnificativ pe termen mediu.</w:t>
      </w:r>
    </w:p>
    <w:p w14:paraId="655EA4F9" w14:textId="77777777" w:rsidR="00C30A8E" w:rsidRPr="00312485" w:rsidRDefault="00C30A8E" w:rsidP="00C30A8E">
      <w:pPr>
        <w:pStyle w:val="Listparagraf"/>
        <w:numPr>
          <w:ilvl w:val="0"/>
          <w:numId w:val="19"/>
        </w:numPr>
        <w:tabs>
          <w:tab w:val="left" w:pos="851"/>
        </w:tabs>
        <w:ind w:left="0" w:right="-46" w:firstLine="567"/>
        <w:rPr>
          <w:color w:val="000000"/>
          <w:sz w:val="24"/>
          <w:lang w:val="ro-MD"/>
        </w:rPr>
      </w:pPr>
      <w:r w:rsidRPr="00312485">
        <w:rPr>
          <w:bCs/>
          <w:i/>
          <w:sz w:val="24"/>
          <w:szCs w:val="28"/>
          <w:lang w:val="ro-MD"/>
        </w:rPr>
        <w:t>Agravarea tensiunilor geopolitice la nivel mondial, cu impact direct asupra mediului economic global: prețurile la resurse energetice și la alte produse, lanțurile de aprovizionare, cererea externă etc.</w:t>
      </w:r>
    </w:p>
    <w:p w14:paraId="7AEBCA0E" w14:textId="773C0948" w:rsidR="00C30A8E" w:rsidRPr="00312485" w:rsidRDefault="00C30A8E" w:rsidP="00C30A8E">
      <w:pPr>
        <w:tabs>
          <w:tab w:val="left" w:pos="851"/>
        </w:tabs>
        <w:ind w:right="-46"/>
        <w:rPr>
          <w:bCs/>
          <w:sz w:val="24"/>
          <w:szCs w:val="28"/>
          <w:lang w:val="ro-MD"/>
        </w:rPr>
      </w:pPr>
      <w:r w:rsidRPr="00312485">
        <w:rPr>
          <w:color w:val="000000"/>
          <w:sz w:val="24"/>
          <w:lang w:val="ro-MD"/>
        </w:rPr>
        <w:tab/>
      </w:r>
      <w:r w:rsidRPr="00312485">
        <w:rPr>
          <w:bCs/>
          <w:sz w:val="24"/>
          <w:szCs w:val="28"/>
          <w:lang w:val="ro-MD"/>
        </w:rPr>
        <w:t>Incertitudinile și riscurile asociate previziunilor economice rămân ridicate, pe fundalul contextului geopolitic actual. Pe termen mediu, conflictul din Ucraina va continua să fie o sursă majoră de instabilitate, cu impact atât asupra securității naționale, cât și asupra economiei. Această situație pune presiune suplimentară în ceea ce privește situația incertă privind prețurile la produsele energetice și la unele materii prime. În aceste condiții, energia electrică va fi procurată de pe piețele europene cu riscuri asociate de disponibilitate și de preț.</w:t>
      </w:r>
    </w:p>
    <w:p w14:paraId="42B386FA" w14:textId="77777777" w:rsidR="00C30A8E" w:rsidRPr="00312485" w:rsidRDefault="00C30A8E" w:rsidP="00C30A8E">
      <w:pPr>
        <w:pStyle w:val="Listparagraf"/>
        <w:numPr>
          <w:ilvl w:val="0"/>
          <w:numId w:val="15"/>
        </w:numPr>
        <w:tabs>
          <w:tab w:val="left" w:pos="851"/>
        </w:tabs>
        <w:ind w:left="0" w:firstLine="567"/>
        <w:contextualSpacing w:val="0"/>
        <w:rPr>
          <w:bCs/>
          <w:i/>
          <w:sz w:val="24"/>
          <w:szCs w:val="28"/>
          <w:lang w:val="ro-MD"/>
        </w:rPr>
      </w:pPr>
      <w:r w:rsidRPr="00312485">
        <w:rPr>
          <w:bCs/>
          <w:i/>
          <w:sz w:val="24"/>
          <w:szCs w:val="24"/>
          <w:lang w:val="ro-MD"/>
        </w:rPr>
        <w:t>Apariția unor eventuale șocuri externe ale prețurilor la petrol, gaz natural etc.</w:t>
      </w:r>
    </w:p>
    <w:p w14:paraId="7C4E0374" w14:textId="77777777" w:rsidR="00C30A8E" w:rsidRPr="00312485" w:rsidRDefault="00C30A8E" w:rsidP="00C042FC">
      <w:pPr>
        <w:pStyle w:val="Listparagraf"/>
        <w:tabs>
          <w:tab w:val="left" w:pos="851"/>
        </w:tabs>
        <w:ind w:left="0" w:firstLine="567"/>
        <w:contextualSpacing w:val="0"/>
        <w:rPr>
          <w:bCs/>
          <w:sz w:val="24"/>
          <w:szCs w:val="28"/>
          <w:lang w:val="ro-MD"/>
        </w:rPr>
      </w:pPr>
      <w:r w:rsidRPr="00312485">
        <w:rPr>
          <w:rFonts w:eastAsiaTheme="minorHAnsi"/>
          <w:bCs/>
          <w:sz w:val="24"/>
          <w:szCs w:val="28"/>
          <w:lang w:val="ro-MD"/>
        </w:rPr>
        <w:t>Tensiunile din Orientul Mijlociu influențează direct prețurile internaționale la petrol. O eventuală escaladare a tensiunilor militare între Israel și Iran ar putea genera efecte geopolitice și economice în lanț, inclusiv și pentru Republica Moldova. Deși Republica Moldova nu este direct implicată, impactul indirect prin piața energetică globală și prin reconfigurările de securitate este inevitabil, iar efectele scumpirilor</w:t>
      </w:r>
      <w:r w:rsidRPr="00312485">
        <w:rPr>
          <w:bCs/>
          <w:sz w:val="24"/>
          <w:szCs w:val="28"/>
          <w:lang w:val="ro-MD"/>
        </w:rPr>
        <w:t xml:space="preserve"> în lanț la gaz și petrol nu vor putea fi ocolite.</w:t>
      </w:r>
    </w:p>
    <w:p w14:paraId="57E762CA" w14:textId="77777777" w:rsidR="00C30A8E" w:rsidRPr="00312485" w:rsidRDefault="00C30A8E" w:rsidP="00C042FC">
      <w:pPr>
        <w:pStyle w:val="Listparagraf"/>
        <w:numPr>
          <w:ilvl w:val="0"/>
          <w:numId w:val="15"/>
        </w:numPr>
        <w:tabs>
          <w:tab w:val="left" w:pos="851"/>
        </w:tabs>
        <w:ind w:left="0" w:firstLine="567"/>
        <w:contextualSpacing w:val="0"/>
        <w:rPr>
          <w:bCs/>
          <w:i/>
          <w:sz w:val="24"/>
          <w:szCs w:val="28"/>
          <w:lang w:val="ro-MD"/>
        </w:rPr>
      </w:pPr>
      <w:r w:rsidRPr="00312485">
        <w:rPr>
          <w:bCs/>
          <w:i/>
          <w:sz w:val="24"/>
          <w:szCs w:val="28"/>
          <w:lang w:val="ro-MD"/>
        </w:rPr>
        <w:t>Recesiunea și șocurile negative în evoluția economiilor partenerilor comerciali principali ai Republicii Moldova, care pot influența negativ exporturile, remitențele, activitatea industrială, etc.</w:t>
      </w:r>
    </w:p>
    <w:p w14:paraId="62C5BDB7" w14:textId="77777777" w:rsidR="00C30A8E" w:rsidRPr="00312485" w:rsidRDefault="00C30A8E" w:rsidP="00C30A8E">
      <w:pPr>
        <w:tabs>
          <w:tab w:val="left" w:pos="851"/>
        </w:tabs>
        <w:rPr>
          <w:bCs/>
          <w:sz w:val="24"/>
          <w:szCs w:val="28"/>
          <w:lang w:val="ro-MD"/>
        </w:rPr>
      </w:pPr>
      <w:r w:rsidRPr="00312485">
        <w:rPr>
          <w:bCs/>
          <w:sz w:val="24"/>
          <w:szCs w:val="28"/>
          <w:lang w:val="ro-MD"/>
        </w:rPr>
        <w:tab/>
        <w:t>Principalii parteneri comerciali ai Republicii Moldova continuă să se confrunte cu amenințările persistente din partea Rusiei, care utilizează tactici hibride pentru a influența politicile și securitatea acestor state. O schimbare a evoluției geopolitice ar duce la o scădere substanțială a exporturilor și remitențelor, care</w:t>
      </w:r>
      <w:r w:rsidRPr="00312485">
        <w:rPr>
          <w:lang w:val="ro-MD"/>
        </w:rPr>
        <w:t xml:space="preserve"> </w:t>
      </w:r>
      <w:r w:rsidRPr="00312485">
        <w:rPr>
          <w:bCs/>
          <w:sz w:val="24"/>
          <w:szCs w:val="28"/>
          <w:lang w:val="ro-MD"/>
        </w:rPr>
        <w:t xml:space="preserve">ar avea un impact semnificativ asupra creșterii economice.  </w:t>
      </w:r>
    </w:p>
    <w:p w14:paraId="589C2DE1" w14:textId="77777777" w:rsidR="00C30A8E" w:rsidRPr="00312485" w:rsidRDefault="00C30A8E" w:rsidP="00C30A8E">
      <w:pPr>
        <w:tabs>
          <w:tab w:val="left" w:pos="993"/>
        </w:tabs>
        <w:ind w:firstLine="567"/>
        <w:rPr>
          <w:bCs/>
          <w:sz w:val="24"/>
          <w:szCs w:val="28"/>
          <w:lang w:val="ro-MD"/>
        </w:rPr>
      </w:pPr>
    </w:p>
    <w:p w14:paraId="7A98EF5F" w14:textId="77777777" w:rsidR="00C30A8E" w:rsidRPr="00312485" w:rsidRDefault="00C30A8E" w:rsidP="00C30A8E">
      <w:pPr>
        <w:tabs>
          <w:tab w:val="left" w:pos="993"/>
        </w:tabs>
        <w:ind w:firstLine="567"/>
        <w:rPr>
          <w:bCs/>
          <w:sz w:val="24"/>
          <w:szCs w:val="28"/>
          <w:lang w:val="ro-MD"/>
        </w:rPr>
      </w:pPr>
      <w:r w:rsidRPr="00312485">
        <w:rPr>
          <w:b/>
          <w:bCs/>
          <w:i/>
          <w:sz w:val="24"/>
          <w:szCs w:val="28"/>
          <w:lang w:val="ro-MD"/>
        </w:rPr>
        <w:t>Riscuri interne</w:t>
      </w:r>
      <w:r w:rsidRPr="00312485">
        <w:rPr>
          <w:bCs/>
          <w:sz w:val="24"/>
          <w:szCs w:val="28"/>
          <w:lang w:val="ro-MD"/>
        </w:rPr>
        <w:t>:</w:t>
      </w:r>
    </w:p>
    <w:p w14:paraId="5823F929" w14:textId="14390229" w:rsidR="00C30A8E" w:rsidRPr="00312485" w:rsidRDefault="00C30A8E" w:rsidP="00C30A8E">
      <w:pPr>
        <w:spacing w:after="51"/>
        <w:ind w:left="17" w:right="-46" w:firstLine="550"/>
        <w:rPr>
          <w:color w:val="000000"/>
          <w:sz w:val="24"/>
          <w:lang w:val="ro-MD"/>
        </w:rPr>
      </w:pPr>
      <w:r w:rsidRPr="00312485">
        <w:rPr>
          <w:b/>
          <w:color w:val="000000"/>
          <w:sz w:val="24"/>
          <w:lang w:val="ro-MD"/>
        </w:rPr>
        <w:t xml:space="preserve">Mediul intern </w:t>
      </w:r>
      <w:r w:rsidRPr="00312485">
        <w:rPr>
          <w:color w:val="000000"/>
          <w:sz w:val="24"/>
          <w:lang w:val="ro-MD"/>
        </w:rPr>
        <w:t>va continua să genereze riscuri în cursul anului 2025 dar și în perioada anilor 2026-2028, deși la un nivel mai scăzut decât în anul precedent.</w:t>
      </w:r>
    </w:p>
    <w:p w14:paraId="771A783A" w14:textId="77777777" w:rsidR="00C30A8E" w:rsidRPr="00312485" w:rsidRDefault="00C30A8E" w:rsidP="00C30A8E">
      <w:pPr>
        <w:pStyle w:val="Listparagraf"/>
        <w:numPr>
          <w:ilvl w:val="0"/>
          <w:numId w:val="18"/>
        </w:numPr>
        <w:shd w:val="clear" w:color="auto" w:fill="FFFFFF"/>
        <w:ind w:left="0" w:firstLine="426"/>
        <w:contextualSpacing w:val="0"/>
        <w:rPr>
          <w:i/>
          <w:color w:val="000000"/>
          <w:lang w:val="ro-MD" w:eastAsia="en-GB"/>
        </w:rPr>
      </w:pPr>
      <w:r w:rsidRPr="00312485">
        <w:rPr>
          <w:i/>
          <w:color w:val="000000"/>
          <w:sz w:val="24"/>
          <w:szCs w:val="24"/>
          <w:lang w:val="ro-MD" w:eastAsia="en-GB"/>
        </w:rPr>
        <w:t>Condițiile climaterice nefavorabile care sunt dificil de prognozat pot contribui la diminuarea volumului producției agricole, cu repercusiuni asupra sectorului industrial și exporturilor.</w:t>
      </w:r>
    </w:p>
    <w:p w14:paraId="4D833D35" w14:textId="6CDB6B5B" w:rsidR="00C30A8E" w:rsidRPr="00312485" w:rsidRDefault="00C30A8E" w:rsidP="00C30A8E">
      <w:pPr>
        <w:shd w:val="clear" w:color="auto" w:fill="FFFFFF"/>
        <w:rPr>
          <w:color w:val="000000"/>
          <w:sz w:val="24"/>
          <w:szCs w:val="24"/>
          <w:lang w:val="ro-MD" w:eastAsia="en-GB"/>
        </w:rPr>
      </w:pPr>
      <w:r w:rsidRPr="00312485">
        <w:rPr>
          <w:color w:val="000000"/>
          <w:sz w:val="24"/>
          <w:szCs w:val="24"/>
          <w:lang w:val="ro-MD" w:eastAsia="en-GB"/>
        </w:rPr>
        <w:t>Evoluțiile în sectorul agricol și traiectoria prețurilor la produsele alimentare pentru următorii ani este marcată de o incertitudine pronunțată.  De rezultatele obținute în sectorul agricol vor depinde, în mare măsură, exporturile de produse alimentare, precum și evoluția industriei alimentare în anii de prognoză.</w:t>
      </w:r>
    </w:p>
    <w:p w14:paraId="3ED00913" w14:textId="77777777" w:rsidR="00C30A8E" w:rsidRPr="00312485" w:rsidRDefault="00C30A8E" w:rsidP="00C30A8E">
      <w:pPr>
        <w:pStyle w:val="Listparagraf"/>
        <w:numPr>
          <w:ilvl w:val="0"/>
          <w:numId w:val="16"/>
        </w:numPr>
        <w:shd w:val="clear" w:color="auto" w:fill="FFFFFF"/>
        <w:ind w:left="0" w:firstLine="426"/>
        <w:rPr>
          <w:i/>
          <w:color w:val="000000"/>
          <w:sz w:val="24"/>
          <w:szCs w:val="24"/>
          <w:lang w:val="ro-MD" w:eastAsia="en-GB"/>
        </w:rPr>
      </w:pPr>
      <w:r w:rsidRPr="00312485">
        <w:rPr>
          <w:i/>
          <w:color w:val="000000"/>
          <w:sz w:val="24"/>
          <w:szCs w:val="24"/>
          <w:lang w:val="ro-MD" w:eastAsia="en-GB"/>
        </w:rPr>
        <w:t>Instabilitatea politică, ce influențează negativ activitatea economică și investițională, intensifică tensiunea socială și provoacă instabilitate macroeconomică.</w:t>
      </w:r>
    </w:p>
    <w:p w14:paraId="4DF8EA2E" w14:textId="30D5FBE3" w:rsidR="00C30A8E" w:rsidRDefault="00C30A8E" w:rsidP="00C30A8E">
      <w:pPr>
        <w:pStyle w:val="Listparagraf"/>
        <w:shd w:val="clear" w:color="auto" w:fill="FFFFFF"/>
        <w:ind w:left="0" w:firstLine="567"/>
        <w:rPr>
          <w:color w:val="000000"/>
          <w:sz w:val="24"/>
          <w:szCs w:val="24"/>
          <w:lang w:val="ro-MD" w:eastAsia="en-GB"/>
        </w:rPr>
      </w:pPr>
      <w:r w:rsidRPr="00312485">
        <w:rPr>
          <w:color w:val="000000"/>
          <w:sz w:val="24"/>
          <w:szCs w:val="24"/>
          <w:lang w:val="ro-MD" w:eastAsia="en-GB"/>
        </w:rPr>
        <w:t xml:space="preserve">Alegerile parlamentare din toamna anului 2025 reprezintă un moment crucial în menținerea parcursului european al Republicii Moldova. Rezultatele acestor alegeri pot influența politica internă și externă și pot avea repercusiuni asupra relațiilor internaționale și procesului de integrare europeană. Într-un context în care integrarea europeană rămâne o opțiune vitală pentru viitorul țării noastre, consolidarea parcursului european și reformelor economice sunt esențiale pentru asigurarea stabilității pe termen lung.  </w:t>
      </w:r>
    </w:p>
    <w:p w14:paraId="1C2D1267" w14:textId="77777777" w:rsidR="00392EA7" w:rsidRPr="00312485" w:rsidRDefault="00392EA7" w:rsidP="00C30A8E">
      <w:pPr>
        <w:pStyle w:val="Listparagraf"/>
        <w:shd w:val="clear" w:color="auto" w:fill="FFFFFF"/>
        <w:ind w:left="0" w:firstLine="567"/>
        <w:rPr>
          <w:color w:val="000000"/>
          <w:sz w:val="24"/>
          <w:szCs w:val="24"/>
          <w:lang w:val="ro-MD" w:eastAsia="en-GB"/>
        </w:rPr>
      </w:pPr>
    </w:p>
    <w:p w14:paraId="613CBD1A" w14:textId="77777777" w:rsidR="00C30A8E" w:rsidRPr="00312485" w:rsidRDefault="00C30A8E" w:rsidP="00C30A8E">
      <w:pPr>
        <w:pStyle w:val="Listparagraf"/>
        <w:numPr>
          <w:ilvl w:val="0"/>
          <w:numId w:val="18"/>
        </w:numPr>
        <w:shd w:val="clear" w:color="auto" w:fill="FFFFFF"/>
        <w:ind w:left="0" w:firstLine="426"/>
        <w:rPr>
          <w:color w:val="000000"/>
          <w:lang w:val="ro-MD" w:eastAsia="en-GB"/>
        </w:rPr>
      </w:pPr>
      <w:r w:rsidRPr="00312485">
        <w:rPr>
          <w:i/>
          <w:color w:val="000000"/>
          <w:sz w:val="24"/>
          <w:szCs w:val="24"/>
          <w:lang w:val="ro-MD" w:eastAsia="en-GB"/>
        </w:rPr>
        <w:lastRenderedPageBreak/>
        <w:t>Accentuarea dezechilibrelor la nivel macroeconomic, în special legate și de deficitul forței de muncă pe piața muncii va contribui la creșterea vulnerabilității economiei naționale</w:t>
      </w:r>
      <w:r w:rsidRPr="00312485">
        <w:rPr>
          <w:color w:val="000000"/>
          <w:sz w:val="24"/>
          <w:szCs w:val="24"/>
          <w:lang w:val="ro-MD" w:eastAsia="en-GB"/>
        </w:rPr>
        <w:t>.</w:t>
      </w:r>
    </w:p>
    <w:p w14:paraId="722F78D7" w14:textId="77777777" w:rsidR="00C30A8E" w:rsidRPr="00312485" w:rsidRDefault="00C30A8E" w:rsidP="00C30A8E">
      <w:pPr>
        <w:shd w:val="clear" w:color="auto" w:fill="FFFFFF"/>
        <w:ind w:firstLine="567"/>
        <w:rPr>
          <w:color w:val="000000"/>
          <w:sz w:val="24"/>
          <w:szCs w:val="24"/>
          <w:lang w:val="ro-MD" w:eastAsia="en-GB"/>
        </w:rPr>
      </w:pPr>
      <w:r w:rsidRPr="00312485">
        <w:rPr>
          <w:color w:val="000000"/>
          <w:sz w:val="25"/>
          <w:szCs w:val="25"/>
          <w:lang w:val="ro-MD" w:eastAsia="en-GB"/>
        </w:rPr>
        <w:t> </w:t>
      </w:r>
      <w:r w:rsidRPr="00312485">
        <w:rPr>
          <w:color w:val="000000"/>
          <w:sz w:val="24"/>
          <w:szCs w:val="24"/>
          <w:lang w:val="ro-MD" w:eastAsia="en-GB"/>
        </w:rPr>
        <w:t>Deficitul forței de muncă poate avea un impact considerabil asupra dezvoltării economice. Lipsa forței de muncă  va menține creșterea economică sub nivelul potențial, va  crea un mediu nefavorabil de afaceri, va influența capacitatea de cumpărare a populației, care, fiind slabă, poate compromite creșterea consumului și, respectiv, creșterea economică. Totodată, actualitatea  problemei migrației în Moldova, în special a forței de muncă calificate, poate stârnit temeri cu privire la creșterea viitoare a economiei.</w:t>
      </w:r>
    </w:p>
    <w:p w14:paraId="223BCD9D" w14:textId="77777777" w:rsidR="00C30A8E" w:rsidRPr="00312485" w:rsidRDefault="00C30A8E" w:rsidP="00C30A8E">
      <w:pPr>
        <w:pStyle w:val="Listparagraf"/>
        <w:numPr>
          <w:ilvl w:val="0"/>
          <w:numId w:val="18"/>
        </w:numPr>
        <w:shd w:val="clear" w:color="auto" w:fill="FFFFFF"/>
        <w:ind w:left="0" w:firstLine="426"/>
        <w:rPr>
          <w:i/>
          <w:color w:val="000000"/>
          <w:lang w:val="ro-MD" w:eastAsia="en-GB"/>
        </w:rPr>
      </w:pPr>
      <w:r w:rsidRPr="00312485">
        <w:rPr>
          <w:i/>
          <w:color w:val="000000"/>
          <w:sz w:val="24"/>
          <w:szCs w:val="24"/>
          <w:lang w:val="ro-MD" w:eastAsia="en-GB"/>
        </w:rPr>
        <w:t>Fluctuațiile excesive ale cursului de schimb al monedei naționale pot influența negativ activitatea agenților economici.</w:t>
      </w:r>
    </w:p>
    <w:p w14:paraId="6B4BBD19" w14:textId="25387715" w:rsidR="00C30A8E" w:rsidRPr="00312485" w:rsidRDefault="00C30A8E" w:rsidP="00C30A8E">
      <w:pPr>
        <w:shd w:val="clear" w:color="auto" w:fill="FFFFFF"/>
        <w:rPr>
          <w:color w:val="000000"/>
          <w:sz w:val="28"/>
          <w:szCs w:val="28"/>
          <w:lang w:val="ro-MD" w:eastAsia="en-GB"/>
        </w:rPr>
      </w:pPr>
      <w:r w:rsidRPr="00312485">
        <w:rPr>
          <w:color w:val="000000"/>
          <w:sz w:val="24"/>
          <w:szCs w:val="24"/>
          <w:lang w:val="ro-MD" w:eastAsia="en-GB"/>
        </w:rPr>
        <w:t>O eventuală apreciere sau depreciere a monedei naționale poate avea un impact considerabil asupra nivelului prețurilor mărfurilor și serviciilor importate destinate consumului final al gospodăriilor casnice, precum și ale materiei prime și ale produselor intermediare predestinate pentru producția bunurilor de consum final.</w:t>
      </w:r>
    </w:p>
    <w:p w14:paraId="53A269B5" w14:textId="77777777" w:rsidR="00C30A8E" w:rsidRPr="00312485" w:rsidRDefault="00C30A8E" w:rsidP="00C30A8E">
      <w:pPr>
        <w:rPr>
          <w:szCs w:val="24"/>
          <w:lang w:val="ro-MD"/>
        </w:rPr>
      </w:pPr>
    </w:p>
    <w:p w14:paraId="18BE27E3" w14:textId="77777777" w:rsidR="00C30A8E" w:rsidRPr="00312485" w:rsidRDefault="00C30A8E" w:rsidP="00C30A8E">
      <w:pPr>
        <w:ind w:firstLine="567"/>
        <w:rPr>
          <w:lang w:val="ro-MD"/>
        </w:rPr>
      </w:pPr>
      <w:r w:rsidRPr="00312485">
        <w:rPr>
          <w:b/>
          <w:i/>
          <w:color w:val="000000"/>
          <w:sz w:val="24"/>
          <w:szCs w:val="28"/>
          <w:lang w:val="ro-MD"/>
        </w:rPr>
        <w:t xml:space="preserve">Riscurile </w:t>
      </w:r>
      <w:proofErr w:type="spellStart"/>
      <w:r w:rsidRPr="00312485">
        <w:rPr>
          <w:b/>
          <w:i/>
          <w:color w:val="000000"/>
          <w:sz w:val="24"/>
          <w:szCs w:val="28"/>
          <w:lang w:val="ro-MD"/>
        </w:rPr>
        <w:t>macrobugetare</w:t>
      </w:r>
      <w:proofErr w:type="spellEnd"/>
      <w:r w:rsidRPr="00312485">
        <w:rPr>
          <w:b/>
          <w:i/>
          <w:color w:val="000000"/>
          <w:sz w:val="24"/>
          <w:szCs w:val="28"/>
          <w:lang w:val="ro-MD"/>
        </w:rPr>
        <w:t xml:space="preserve"> pe termen mediu</w:t>
      </w:r>
    </w:p>
    <w:p w14:paraId="520CEEDA" w14:textId="77777777" w:rsidR="00C30A8E" w:rsidRPr="00312485" w:rsidRDefault="00C30A8E" w:rsidP="00C30A8E">
      <w:pPr>
        <w:tabs>
          <w:tab w:val="left" w:pos="993"/>
        </w:tabs>
        <w:spacing w:before="120"/>
        <w:ind w:firstLine="567"/>
        <w:rPr>
          <w:rFonts w:eastAsia="Calibri"/>
          <w:b/>
          <w:i/>
          <w:sz w:val="24"/>
          <w:szCs w:val="28"/>
          <w:lang w:val="ro-MD"/>
        </w:rPr>
      </w:pPr>
      <w:r w:rsidRPr="00312485">
        <w:rPr>
          <w:rFonts w:eastAsia="Calibri"/>
          <w:sz w:val="24"/>
          <w:szCs w:val="28"/>
          <w:lang w:val="ro-MD"/>
        </w:rPr>
        <w:t>Printre principalele riscuri și incertitudini identificate la care ar putea fi expus bugetul se numără următoarele:</w:t>
      </w:r>
    </w:p>
    <w:p w14:paraId="553414A9" w14:textId="77777777" w:rsidR="00C30A8E" w:rsidRPr="00312485" w:rsidRDefault="00C30A8E" w:rsidP="00C30A8E">
      <w:pPr>
        <w:numPr>
          <w:ilvl w:val="0"/>
          <w:numId w:val="17"/>
        </w:numPr>
        <w:ind w:left="0" w:firstLine="567"/>
        <w:rPr>
          <w:rFonts w:eastAsia="Calibri"/>
          <w:sz w:val="24"/>
          <w:szCs w:val="24"/>
          <w:lang w:val="ro-MD"/>
        </w:rPr>
      </w:pPr>
      <w:r w:rsidRPr="006B3AA3">
        <w:rPr>
          <w:rFonts w:eastAsia="Calibri"/>
          <w:i/>
          <w:sz w:val="24"/>
          <w:szCs w:val="24"/>
          <w:lang w:val="ro-MD"/>
        </w:rPr>
        <w:t>riscurile asociate veniturilor bugetare</w:t>
      </w:r>
      <w:r w:rsidRPr="00312485">
        <w:rPr>
          <w:rFonts w:eastAsia="Calibri"/>
          <w:sz w:val="24"/>
          <w:szCs w:val="24"/>
          <w:lang w:val="ro-MD"/>
        </w:rPr>
        <w:t xml:space="preserve"> sunt strâns legate de evoluțiile macroeconomice neprevăzute, care modifică perspectivele de creștere economică în contextul geopolitic. În același timp, implementarea reformelor fiscale favorabile în scopul lărgirii bazei de impozitare și îmbunătățirea conformității fiscale, va contribui la o creștere a veniturilor bugetare. Totuși, deși se estimează o tendință de creștere a veniturilor bugetare din impozite și taxe pe termen mediu, spațiul fiscal rămâne încă extrem de constrâns;</w:t>
      </w:r>
    </w:p>
    <w:p w14:paraId="4A096DB6" w14:textId="77777777" w:rsidR="00C30A8E" w:rsidRPr="00312485" w:rsidRDefault="00C30A8E" w:rsidP="00785B7B">
      <w:pPr>
        <w:pStyle w:val="Listparagraf"/>
        <w:numPr>
          <w:ilvl w:val="0"/>
          <w:numId w:val="17"/>
        </w:numPr>
        <w:tabs>
          <w:tab w:val="left" w:pos="720"/>
        </w:tabs>
        <w:ind w:left="0" w:firstLine="567"/>
        <w:contextualSpacing w:val="0"/>
        <w:rPr>
          <w:rFonts w:eastAsia="Calibri"/>
          <w:i/>
          <w:sz w:val="24"/>
          <w:szCs w:val="24"/>
          <w:lang w:val="ro-MD"/>
        </w:rPr>
      </w:pPr>
      <w:r w:rsidRPr="006B3AA3">
        <w:rPr>
          <w:rFonts w:eastAsia="Calibri"/>
          <w:i/>
          <w:sz w:val="24"/>
          <w:szCs w:val="28"/>
          <w:lang w:val="ro-MD"/>
        </w:rPr>
        <w:t>riscurile asociate cheltuielilor bugetare</w:t>
      </w:r>
      <w:r w:rsidRPr="00312485">
        <w:rPr>
          <w:rFonts w:eastAsia="Calibri"/>
          <w:sz w:val="24"/>
          <w:szCs w:val="28"/>
          <w:lang w:val="ro-MD"/>
        </w:rPr>
        <w:t xml:space="preserve"> se referă la sustenabilitatea cheltuielilor sociale, ritmul de creștere al cărora este mai mare decât al posibilităților de generare a veniturilor bugetare; nivelul de executare a cheltuielilor pentru investiții publice și presiunile viitoare asupra cheltuielilor bugetare urmare tergiversărilor în realizarea acestora; costul reformelor structurale în toate sectoarele economice și sociale necesare, în special în contextul aderării la </w:t>
      </w:r>
      <w:r w:rsidRPr="00312485">
        <w:rPr>
          <w:rFonts w:eastAsia="Calibri"/>
          <w:sz w:val="24"/>
          <w:szCs w:val="24"/>
          <w:lang w:val="ro-MD"/>
        </w:rPr>
        <w:t>UE vor avea un impact foarte esențial asupra cheltuielilor publice.</w:t>
      </w:r>
    </w:p>
    <w:p w14:paraId="342E303C" w14:textId="77777777" w:rsidR="00BF10B3" w:rsidRPr="00312485" w:rsidRDefault="00BF10B3" w:rsidP="00B8745F">
      <w:pPr>
        <w:autoSpaceDE w:val="0"/>
        <w:autoSpaceDN w:val="0"/>
        <w:adjustRightInd w:val="0"/>
        <w:ind w:firstLine="567"/>
        <w:rPr>
          <w:sz w:val="24"/>
          <w:szCs w:val="24"/>
          <w:lang w:val="ro-MD"/>
        </w:rPr>
      </w:pPr>
    </w:p>
    <w:p w14:paraId="378646B7" w14:textId="77777777" w:rsidR="00D17564" w:rsidRPr="00312485" w:rsidRDefault="00D17564" w:rsidP="007056D2">
      <w:pPr>
        <w:shd w:val="clear" w:color="auto" w:fill="DBE5F1" w:themeFill="accent1" w:themeFillTint="33"/>
        <w:tabs>
          <w:tab w:val="center" w:pos="4848"/>
          <w:tab w:val="left" w:pos="7515"/>
        </w:tabs>
        <w:ind w:firstLine="0"/>
        <w:jc w:val="center"/>
        <w:rPr>
          <w:b/>
          <w:sz w:val="24"/>
          <w:szCs w:val="24"/>
          <w:lang w:val="ro-MD"/>
        </w:rPr>
      </w:pPr>
      <w:r w:rsidRPr="00312485">
        <w:rPr>
          <w:b/>
          <w:sz w:val="24"/>
          <w:szCs w:val="24"/>
          <w:lang w:val="ro-MD"/>
        </w:rPr>
        <w:t>III. POLITICA BUGETAR-FISCALĂ ȘI PROGNOZELE CBTM 2026-2028</w:t>
      </w:r>
    </w:p>
    <w:p w14:paraId="28976C0D" w14:textId="5880C21C" w:rsidR="00C05D1A" w:rsidRPr="00312485" w:rsidRDefault="00C05D1A" w:rsidP="00796D16">
      <w:pPr>
        <w:autoSpaceDE w:val="0"/>
        <w:autoSpaceDN w:val="0"/>
        <w:adjustRightInd w:val="0"/>
        <w:ind w:firstLine="567"/>
        <w:rPr>
          <w:sz w:val="24"/>
          <w:szCs w:val="24"/>
          <w:lang w:val="ro-MD"/>
        </w:rPr>
      </w:pPr>
    </w:p>
    <w:p w14:paraId="7559431A" w14:textId="1BBEB01C" w:rsidR="00C30A8E" w:rsidRPr="00312485" w:rsidRDefault="00C30A8E" w:rsidP="006139DB">
      <w:pPr>
        <w:pStyle w:val="Listparagraf"/>
        <w:numPr>
          <w:ilvl w:val="0"/>
          <w:numId w:val="31"/>
        </w:numPr>
        <w:tabs>
          <w:tab w:val="left" w:pos="993"/>
        </w:tabs>
        <w:spacing w:before="120"/>
        <w:rPr>
          <w:b/>
          <w:sz w:val="24"/>
          <w:szCs w:val="24"/>
          <w:lang w:val="ro-MD"/>
        </w:rPr>
      </w:pPr>
      <w:r w:rsidRPr="00312485">
        <w:rPr>
          <w:b/>
          <w:sz w:val="24"/>
          <w:szCs w:val="24"/>
          <w:lang w:val="ro-MD"/>
        </w:rPr>
        <w:t>Prezentarea generală a politicilor</w:t>
      </w:r>
    </w:p>
    <w:p w14:paraId="58D81138" w14:textId="77777777" w:rsidR="007F7429" w:rsidRPr="00312485" w:rsidRDefault="007F7429" w:rsidP="007F7429">
      <w:pPr>
        <w:pStyle w:val="Listparagraf"/>
        <w:tabs>
          <w:tab w:val="left" w:pos="993"/>
        </w:tabs>
        <w:spacing w:before="120"/>
        <w:ind w:left="1069" w:firstLine="0"/>
        <w:rPr>
          <w:b/>
          <w:sz w:val="24"/>
          <w:szCs w:val="24"/>
          <w:lang w:val="ro-MD"/>
        </w:rPr>
      </w:pPr>
    </w:p>
    <w:p w14:paraId="7C703AD9" w14:textId="126910BA" w:rsidR="00C30A8E" w:rsidRPr="00312485" w:rsidRDefault="00C30A8E" w:rsidP="00507FE7">
      <w:pPr>
        <w:tabs>
          <w:tab w:val="left" w:pos="426"/>
          <w:tab w:val="left" w:pos="993"/>
        </w:tabs>
        <w:ind w:firstLine="567"/>
        <w:rPr>
          <w:b/>
          <w:sz w:val="24"/>
          <w:szCs w:val="28"/>
          <w:lang w:val="ro-MD"/>
        </w:rPr>
      </w:pPr>
      <w:r w:rsidRPr="00312485">
        <w:rPr>
          <w:sz w:val="24"/>
          <w:szCs w:val="28"/>
          <w:lang w:val="ro-MD"/>
        </w:rPr>
        <w:t>În perioada 2026-2028</w:t>
      </w:r>
      <w:r w:rsidR="00437D26" w:rsidRPr="00312485">
        <w:rPr>
          <w:sz w:val="24"/>
          <w:szCs w:val="28"/>
          <w:lang w:val="ro-MD"/>
        </w:rPr>
        <w:t>,</w:t>
      </w:r>
      <w:r w:rsidRPr="00312485">
        <w:rPr>
          <w:sz w:val="24"/>
          <w:szCs w:val="28"/>
          <w:lang w:val="ro-MD"/>
        </w:rPr>
        <w:t xml:space="preserve"> Guvernul își va consolida în continuare progresele în asigurarea stabilității și sustenabilității finanțelor publice. Măsurile-cheie care necesită a fi întreprinse sunt:</w:t>
      </w:r>
    </w:p>
    <w:p w14:paraId="788E8127" w14:textId="77777777" w:rsidR="00C30A8E" w:rsidRPr="00312485" w:rsidRDefault="00C30A8E" w:rsidP="00507FE7">
      <w:pPr>
        <w:pStyle w:val="Listparagraf"/>
        <w:numPr>
          <w:ilvl w:val="0"/>
          <w:numId w:val="21"/>
        </w:numPr>
        <w:tabs>
          <w:tab w:val="left" w:pos="426"/>
          <w:tab w:val="left" w:pos="710"/>
          <w:tab w:val="left" w:pos="993"/>
        </w:tabs>
        <w:ind w:left="0" w:firstLine="710"/>
        <w:contextualSpacing w:val="0"/>
        <w:rPr>
          <w:sz w:val="24"/>
          <w:szCs w:val="28"/>
          <w:lang w:val="ro-MD"/>
        </w:rPr>
      </w:pPr>
      <w:r w:rsidRPr="00312485">
        <w:rPr>
          <w:sz w:val="24"/>
          <w:szCs w:val="28"/>
          <w:lang w:val="ro-MD"/>
        </w:rPr>
        <w:t xml:space="preserve">consolidarea bazei fiscale, susținute de reformele aflate în desfășurare în administrarea fiscală și vamală, dar și prin consolidarea conformității fiscale și asigurarea angajamentelor de transpunere a </w:t>
      </w:r>
      <w:proofErr w:type="spellStart"/>
      <w:r w:rsidRPr="00312485">
        <w:rPr>
          <w:sz w:val="24"/>
          <w:szCs w:val="28"/>
          <w:lang w:val="ro-MD"/>
        </w:rPr>
        <w:t>aquisul</w:t>
      </w:r>
      <w:proofErr w:type="spellEnd"/>
      <w:r w:rsidRPr="00312485">
        <w:rPr>
          <w:sz w:val="24"/>
          <w:szCs w:val="28"/>
          <w:lang w:val="ro-MD"/>
        </w:rPr>
        <w:t>-ui comunitar;</w:t>
      </w:r>
    </w:p>
    <w:p w14:paraId="0DFDABC8" w14:textId="756C345F" w:rsidR="00C30A8E" w:rsidRPr="00312485" w:rsidRDefault="00C30A8E" w:rsidP="00507FE7">
      <w:pPr>
        <w:pStyle w:val="Listparagraf"/>
        <w:numPr>
          <w:ilvl w:val="0"/>
          <w:numId w:val="21"/>
        </w:numPr>
        <w:tabs>
          <w:tab w:val="left" w:pos="426"/>
          <w:tab w:val="left" w:pos="993"/>
        </w:tabs>
        <w:ind w:left="0" w:firstLine="710"/>
        <w:contextualSpacing w:val="0"/>
        <w:rPr>
          <w:sz w:val="24"/>
          <w:szCs w:val="28"/>
          <w:lang w:val="ro-MD"/>
        </w:rPr>
      </w:pPr>
      <w:r w:rsidRPr="00312485">
        <w:rPr>
          <w:sz w:val="24"/>
          <w:szCs w:val="28"/>
          <w:lang w:val="ro-MD"/>
        </w:rPr>
        <w:t>revizuirea și eficientizarea sistemului de facilități fiscale, astfel ca acesta să devină sustenabile pe termen mediu și lung și să asigure atingerea unor eficiențe sporite în utilizarea instrumentelor fiscale stimulative</w:t>
      </w:r>
      <w:r w:rsidR="00E95D67">
        <w:rPr>
          <w:sz w:val="24"/>
          <w:szCs w:val="28"/>
          <w:lang w:val="ro-MD"/>
        </w:rPr>
        <w:t>.</w:t>
      </w:r>
    </w:p>
    <w:p w14:paraId="2A9E0555" w14:textId="77777777" w:rsidR="00C30A8E" w:rsidRPr="00312485" w:rsidRDefault="00C30A8E" w:rsidP="00507FE7">
      <w:pPr>
        <w:tabs>
          <w:tab w:val="left" w:pos="426"/>
        </w:tabs>
        <w:ind w:firstLine="567"/>
        <w:rPr>
          <w:b/>
          <w:i/>
          <w:sz w:val="24"/>
          <w:szCs w:val="28"/>
          <w:lang w:val="ro-MD"/>
        </w:rPr>
      </w:pPr>
      <w:r w:rsidRPr="00312485">
        <w:rPr>
          <w:b/>
          <w:i/>
          <w:sz w:val="24"/>
          <w:szCs w:val="28"/>
          <w:lang w:val="ro-MD"/>
        </w:rPr>
        <w:t>Obiectivele politicii fiscale și vamale și politicii de administrare fiscală și vamală pe termen mediu 2026-2028</w:t>
      </w:r>
    </w:p>
    <w:p w14:paraId="0B3F4E65" w14:textId="4D66D937" w:rsidR="00C30A8E" w:rsidRDefault="00C30A8E" w:rsidP="00507FE7">
      <w:pPr>
        <w:tabs>
          <w:tab w:val="left" w:pos="426"/>
        </w:tabs>
        <w:ind w:firstLine="567"/>
        <w:rPr>
          <w:rFonts w:eastAsia="Calibri"/>
          <w:bCs/>
          <w:i/>
          <w:sz w:val="24"/>
          <w:szCs w:val="28"/>
          <w:lang w:val="ro-MD"/>
        </w:rPr>
      </w:pPr>
      <w:r w:rsidRPr="00312485">
        <w:rPr>
          <w:rFonts w:eastAsia="Calibri"/>
          <w:bCs/>
          <w:i/>
          <w:sz w:val="24"/>
          <w:szCs w:val="28"/>
          <w:lang w:val="ro-MD"/>
        </w:rPr>
        <w:t>Măsurile de politică fiscală pe termen mediu țintesc fortificarea creșterii economice, stimularea cererii și ofertei de muncă, diminuarea economiei tenebre și racordarea treptată a sistemului fiscal la prevederile acquis-</w:t>
      </w:r>
      <w:proofErr w:type="spellStart"/>
      <w:r w:rsidRPr="00312485">
        <w:rPr>
          <w:rFonts w:eastAsia="Calibri"/>
          <w:bCs/>
          <w:i/>
          <w:sz w:val="24"/>
          <w:szCs w:val="28"/>
          <w:lang w:val="ro-MD"/>
        </w:rPr>
        <w:t>ul</w:t>
      </w:r>
      <w:proofErr w:type="spellEnd"/>
      <w:r w:rsidRPr="00312485">
        <w:rPr>
          <w:rFonts w:eastAsia="Calibri"/>
          <w:bCs/>
          <w:i/>
          <w:sz w:val="24"/>
          <w:szCs w:val="28"/>
          <w:lang w:val="ro-MD"/>
        </w:rPr>
        <w:t xml:space="preserve"> comunitar.</w:t>
      </w:r>
    </w:p>
    <w:p w14:paraId="7DA800E6" w14:textId="77777777" w:rsidR="00D7334B" w:rsidRPr="00312485" w:rsidRDefault="00D7334B" w:rsidP="00507FE7">
      <w:pPr>
        <w:tabs>
          <w:tab w:val="left" w:pos="426"/>
        </w:tabs>
        <w:ind w:firstLine="567"/>
        <w:rPr>
          <w:rFonts w:eastAsia="Calibri"/>
          <w:bCs/>
          <w:i/>
          <w:sz w:val="24"/>
          <w:szCs w:val="28"/>
          <w:lang w:val="ro-MD"/>
        </w:rPr>
      </w:pPr>
    </w:p>
    <w:p w14:paraId="16AF3B3B" w14:textId="77777777" w:rsidR="00C30A8E" w:rsidRPr="00312485" w:rsidRDefault="00C30A8E" w:rsidP="00507FE7">
      <w:pPr>
        <w:tabs>
          <w:tab w:val="left" w:pos="426"/>
        </w:tabs>
        <w:ind w:firstLine="567"/>
        <w:rPr>
          <w:rFonts w:eastAsia="Calibri"/>
          <w:bCs/>
          <w:sz w:val="24"/>
          <w:szCs w:val="28"/>
          <w:lang w:val="ro-MD"/>
        </w:rPr>
      </w:pPr>
      <w:r w:rsidRPr="00312485">
        <w:rPr>
          <w:rFonts w:eastAsia="Calibri"/>
          <w:bCs/>
          <w:sz w:val="24"/>
          <w:szCs w:val="28"/>
          <w:lang w:val="ro-MD"/>
        </w:rPr>
        <w:lastRenderedPageBreak/>
        <w:t xml:space="preserve">Ca parte componentă a Cadrului bugetar pe termen mediu, </w:t>
      </w:r>
      <w:r w:rsidRPr="00312485">
        <w:rPr>
          <w:rFonts w:eastAsia="Calibri"/>
          <w:bCs/>
          <w:i/>
          <w:sz w:val="24"/>
          <w:szCs w:val="28"/>
          <w:lang w:val="ro-MD"/>
        </w:rPr>
        <w:t>politica fiscală</w:t>
      </w:r>
      <w:r w:rsidRPr="00312485">
        <w:rPr>
          <w:rFonts w:eastAsia="Calibri"/>
          <w:bCs/>
          <w:sz w:val="24"/>
          <w:szCs w:val="28"/>
          <w:lang w:val="ro-MD"/>
        </w:rPr>
        <w:t xml:space="preserve"> va urmări stimularea proceselor economice și sociale, prin:</w:t>
      </w:r>
    </w:p>
    <w:p w14:paraId="5B80054C" w14:textId="77777777" w:rsidR="00C30A8E" w:rsidRPr="00312485" w:rsidRDefault="00C30A8E" w:rsidP="00507FE7">
      <w:pPr>
        <w:numPr>
          <w:ilvl w:val="2"/>
          <w:numId w:val="20"/>
        </w:numPr>
        <w:tabs>
          <w:tab w:val="left" w:pos="426"/>
        </w:tabs>
        <w:ind w:left="0" w:firstLine="477"/>
        <w:contextualSpacing/>
        <w:rPr>
          <w:rFonts w:eastAsia="Calibri"/>
          <w:bCs/>
          <w:sz w:val="24"/>
          <w:szCs w:val="28"/>
          <w:lang w:val="ro-MD"/>
        </w:rPr>
      </w:pPr>
      <w:r w:rsidRPr="00312485">
        <w:rPr>
          <w:rFonts w:eastAsia="Calibri"/>
          <w:bCs/>
          <w:sz w:val="24"/>
          <w:szCs w:val="28"/>
          <w:lang w:val="ro-MD"/>
        </w:rPr>
        <w:t xml:space="preserve">menținerea mecanismelor fiscale de atragere și susținere a forței de muncă calificate; </w:t>
      </w:r>
    </w:p>
    <w:p w14:paraId="59581DA8" w14:textId="77777777" w:rsidR="00C30A8E" w:rsidRPr="00312485" w:rsidRDefault="00C30A8E" w:rsidP="00507FE7">
      <w:pPr>
        <w:numPr>
          <w:ilvl w:val="2"/>
          <w:numId w:val="20"/>
        </w:numPr>
        <w:tabs>
          <w:tab w:val="left" w:pos="426"/>
        </w:tabs>
        <w:ind w:left="0" w:firstLine="477"/>
        <w:contextualSpacing/>
        <w:rPr>
          <w:rFonts w:eastAsia="Calibri"/>
          <w:bCs/>
          <w:sz w:val="24"/>
          <w:szCs w:val="28"/>
          <w:lang w:val="ro-MD"/>
        </w:rPr>
      </w:pPr>
      <w:r w:rsidRPr="00312485">
        <w:rPr>
          <w:rFonts w:eastAsia="Calibri"/>
          <w:bCs/>
          <w:sz w:val="24"/>
          <w:szCs w:val="28"/>
          <w:lang w:val="ro-MD"/>
        </w:rPr>
        <w:t xml:space="preserve">revizuirea proceselor de calculare și achitare a impozitelor și taxelor în vederea simplificării și clarificării cadrului legislativ;  </w:t>
      </w:r>
    </w:p>
    <w:p w14:paraId="2476A933" w14:textId="77777777" w:rsidR="00C30A8E" w:rsidRPr="00312485" w:rsidRDefault="00C30A8E" w:rsidP="00507FE7">
      <w:pPr>
        <w:numPr>
          <w:ilvl w:val="2"/>
          <w:numId w:val="20"/>
        </w:numPr>
        <w:tabs>
          <w:tab w:val="left" w:pos="426"/>
        </w:tabs>
        <w:ind w:left="-142" w:firstLine="619"/>
        <w:contextualSpacing/>
        <w:rPr>
          <w:rFonts w:eastAsia="Calibri"/>
          <w:bCs/>
          <w:sz w:val="24"/>
          <w:szCs w:val="28"/>
          <w:lang w:val="ro-MD"/>
        </w:rPr>
      </w:pPr>
      <w:r w:rsidRPr="00312485">
        <w:rPr>
          <w:rFonts w:eastAsia="Calibri"/>
          <w:bCs/>
          <w:sz w:val="24"/>
          <w:szCs w:val="28"/>
          <w:lang w:val="ro-MD"/>
        </w:rPr>
        <w:t>extinderea pârghiilor care ar crea premise pentru diminuarea „salariului în plic”;</w:t>
      </w:r>
    </w:p>
    <w:p w14:paraId="7745C3F8" w14:textId="77777777" w:rsidR="00C30A8E" w:rsidRPr="00312485" w:rsidRDefault="00C30A8E" w:rsidP="00507FE7">
      <w:pPr>
        <w:numPr>
          <w:ilvl w:val="2"/>
          <w:numId w:val="20"/>
        </w:numPr>
        <w:tabs>
          <w:tab w:val="left" w:pos="426"/>
        </w:tabs>
        <w:ind w:left="0" w:firstLine="477"/>
        <w:contextualSpacing/>
        <w:rPr>
          <w:rFonts w:eastAsia="Calibri"/>
          <w:bCs/>
          <w:sz w:val="24"/>
          <w:szCs w:val="28"/>
          <w:lang w:val="ro-MD"/>
        </w:rPr>
      </w:pPr>
      <w:r w:rsidRPr="00312485">
        <w:rPr>
          <w:rFonts w:eastAsia="Calibri"/>
          <w:bCs/>
          <w:sz w:val="24"/>
          <w:szCs w:val="28"/>
          <w:lang w:val="ro-MD"/>
        </w:rPr>
        <w:t>îmbunătățirea administrării fiscale și vamale prin extinderea spectrului de instrumente disponibile pentru intervenție, în vederea diminuării economiei tenebre și reducerii interacțiunii dintre contribuabil și funcționarul fiscal;</w:t>
      </w:r>
    </w:p>
    <w:p w14:paraId="4A7BF502" w14:textId="77777777" w:rsidR="00C30A8E" w:rsidRPr="00312485" w:rsidRDefault="00C30A8E" w:rsidP="00507FE7">
      <w:pPr>
        <w:numPr>
          <w:ilvl w:val="2"/>
          <w:numId w:val="20"/>
        </w:numPr>
        <w:tabs>
          <w:tab w:val="left" w:pos="426"/>
        </w:tabs>
        <w:ind w:left="-142" w:firstLine="619"/>
        <w:contextualSpacing/>
        <w:rPr>
          <w:rFonts w:eastAsia="Calibri"/>
          <w:bCs/>
          <w:sz w:val="24"/>
          <w:szCs w:val="28"/>
          <w:lang w:val="ro-MD"/>
        </w:rPr>
      </w:pPr>
      <w:r w:rsidRPr="00312485">
        <w:rPr>
          <w:rFonts w:eastAsia="Calibri"/>
          <w:bCs/>
          <w:sz w:val="24"/>
          <w:szCs w:val="28"/>
          <w:lang w:val="ro-MD"/>
        </w:rPr>
        <w:t>concentrarea eforturilor în vederea asigurării continuării armonizării legislației naționale la prevederile acquis-</w:t>
      </w:r>
      <w:proofErr w:type="spellStart"/>
      <w:r w:rsidRPr="00312485">
        <w:rPr>
          <w:rFonts w:eastAsia="Calibri"/>
          <w:bCs/>
          <w:sz w:val="24"/>
          <w:szCs w:val="28"/>
          <w:lang w:val="ro-MD"/>
        </w:rPr>
        <w:t>ul</w:t>
      </w:r>
      <w:proofErr w:type="spellEnd"/>
      <w:r w:rsidRPr="00312485">
        <w:rPr>
          <w:rFonts w:eastAsia="Calibri"/>
          <w:bCs/>
          <w:sz w:val="24"/>
          <w:szCs w:val="28"/>
          <w:lang w:val="ro-MD"/>
        </w:rPr>
        <w:t xml:space="preserve"> comunitar.</w:t>
      </w:r>
    </w:p>
    <w:p w14:paraId="4DD8DDF1" w14:textId="77777777" w:rsidR="00A70BC1" w:rsidRDefault="00A70BC1" w:rsidP="00C30A8E">
      <w:pPr>
        <w:pStyle w:val="Listparagraf"/>
        <w:tabs>
          <w:tab w:val="left" w:pos="426"/>
        </w:tabs>
        <w:ind w:left="0" w:firstLine="360"/>
        <w:rPr>
          <w:rFonts w:eastAsia="Calibri"/>
          <w:b/>
          <w:bCs/>
          <w:sz w:val="24"/>
          <w:szCs w:val="28"/>
          <w:lang w:val="ro-MD"/>
        </w:rPr>
      </w:pPr>
    </w:p>
    <w:p w14:paraId="32B94BBC" w14:textId="496F4C8F" w:rsidR="00C30A8E" w:rsidRPr="00312485" w:rsidRDefault="00C30A8E" w:rsidP="00C30A8E">
      <w:pPr>
        <w:pStyle w:val="Listparagraf"/>
        <w:tabs>
          <w:tab w:val="left" w:pos="426"/>
        </w:tabs>
        <w:ind w:left="0" w:firstLine="360"/>
        <w:rPr>
          <w:rFonts w:eastAsia="Calibri"/>
          <w:b/>
          <w:bCs/>
          <w:sz w:val="24"/>
          <w:szCs w:val="28"/>
          <w:lang w:val="ro-MD"/>
        </w:rPr>
      </w:pPr>
      <w:r w:rsidRPr="00312485">
        <w:rPr>
          <w:rFonts w:eastAsia="Calibri"/>
          <w:b/>
          <w:bCs/>
          <w:sz w:val="24"/>
          <w:szCs w:val="28"/>
          <w:lang w:val="ro-MD"/>
        </w:rPr>
        <w:t>Obiective de politici fiscale de ordin general</w:t>
      </w:r>
    </w:p>
    <w:p w14:paraId="099B4C2F" w14:textId="77777777" w:rsidR="00C30A8E" w:rsidRPr="00312485" w:rsidRDefault="00C30A8E" w:rsidP="00C30A8E">
      <w:pPr>
        <w:pStyle w:val="Listparagraf"/>
        <w:tabs>
          <w:tab w:val="left" w:pos="426"/>
        </w:tabs>
        <w:ind w:left="0" w:firstLine="360"/>
        <w:rPr>
          <w:rFonts w:eastAsia="Calibri"/>
          <w:bCs/>
          <w:sz w:val="24"/>
          <w:szCs w:val="28"/>
          <w:lang w:val="ro-MD"/>
        </w:rPr>
      </w:pPr>
    </w:p>
    <w:p w14:paraId="44C08E14" w14:textId="6208D20E" w:rsidR="00C30A8E" w:rsidRPr="00312485" w:rsidRDefault="00C30A8E" w:rsidP="00507FE7">
      <w:pPr>
        <w:pStyle w:val="Listparagraf"/>
        <w:tabs>
          <w:tab w:val="left" w:pos="426"/>
        </w:tabs>
        <w:ind w:left="0" w:firstLine="360"/>
        <w:rPr>
          <w:rFonts w:eastAsia="Calibri"/>
          <w:bCs/>
          <w:sz w:val="24"/>
          <w:szCs w:val="28"/>
          <w:lang w:val="ro-MD"/>
        </w:rPr>
      </w:pPr>
      <w:r w:rsidRPr="00312485">
        <w:rPr>
          <w:rFonts w:eastAsia="Calibri"/>
          <w:bCs/>
          <w:sz w:val="24"/>
          <w:szCs w:val="28"/>
          <w:lang w:val="ro-MD"/>
        </w:rPr>
        <w:t>Accentuarea eforturilor în vederea atingerilor țintelor propuse în partea ce vizează armonizarea legislației fiscale în conformitate cu Directivele UE.</w:t>
      </w:r>
    </w:p>
    <w:p w14:paraId="42A26CA4" w14:textId="760C608D" w:rsidR="00507FE7" w:rsidRPr="00312485" w:rsidRDefault="00507FE7" w:rsidP="00507FE7">
      <w:pPr>
        <w:pStyle w:val="Listparagraf"/>
        <w:tabs>
          <w:tab w:val="left" w:pos="426"/>
        </w:tabs>
        <w:ind w:left="0" w:firstLine="360"/>
        <w:rPr>
          <w:rFonts w:eastAsia="Calibri"/>
          <w:bCs/>
          <w:sz w:val="24"/>
          <w:szCs w:val="28"/>
          <w:lang w:val="ro-MD"/>
        </w:rPr>
      </w:pPr>
    </w:p>
    <w:p w14:paraId="2A176058" w14:textId="77777777" w:rsidR="00C30A8E" w:rsidRPr="00312485" w:rsidRDefault="00C30A8E" w:rsidP="00C30A8E">
      <w:pPr>
        <w:tabs>
          <w:tab w:val="left" w:pos="426"/>
          <w:tab w:val="left" w:pos="1134"/>
        </w:tabs>
        <w:spacing w:before="120" w:after="120"/>
        <w:ind w:firstLine="360"/>
        <w:rPr>
          <w:rFonts w:eastAsia="Calibri"/>
          <w:b/>
          <w:bCs/>
          <w:sz w:val="24"/>
          <w:szCs w:val="28"/>
          <w:lang w:val="ro-MD"/>
        </w:rPr>
      </w:pPr>
      <w:r w:rsidRPr="00312485">
        <w:rPr>
          <w:rFonts w:eastAsia="Calibri"/>
          <w:b/>
          <w:bCs/>
          <w:sz w:val="24"/>
          <w:szCs w:val="28"/>
          <w:lang w:val="ro-MD"/>
        </w:rPr>
        <w:t>Obiective de administrare fiscale 2026-2028</w:t>
      </w:r>
    </w:p>
    <w:p w14:paraId="5DD7E9F5" w14:textId="77777777" w:rsidR="00C30A8E" w:rsidRPr="00312485" w:rsidRDefault="00C30A8E" w:rsidP="00C30A8E">
      <w:pPr>
        <w:tabs>
          <w:tab w:val="left" w:pos="426"/>
          <w:tab w:val="left" w:pos="1134"/>
        </w:tabs>
        <w:spacing w:before="120" w:after="120"/>
        <w:ind w:firstLine="360"/>
        <w:rPr>
          <w:rFonts w:eastAsia="Calibri"/>
          <w:b/>
          <w:bCs/>
          <w:i/>
          <w:sz w:val="24"/>
          <w:szCs w:val="28"/>
          <w:lang w:val="ro-MD"/>
        </w:rPr>
      </w:pPr>
      <w:r w:rsidRPr="00312485">
        <w:rPr>
          <w:rFonts w:eastAsia="Calibri"/>
          <w:b/>
          <w:bCs/>
          <w:i/>
          <w:sz w:val="24"/>
          <w:szCs w:val="28"/>
          <w:lang w:val="ro-MD"/>
        </w:rPr>
        <w:t>Combaterea evaziunii și fraudei fiscale:</w:t>
      </w:r>
    </w:p>
    <w:p w14:paraId="103C8818" w14:textId="3D699A83" w:rsidR="0005475D" w:rsidRPr="00312485" w:rsidRDefault="0005475D" w:rsidP="0005475D">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Automatizarea și perfecționarea procesului de administrare a riscului de nedeclarare și neachitare a impozitelor, inclusiv activități ilicite,</w:t>
      </w:r>
    </w:p>
    <w:p w14:paraId="3F373B9D" w14:textId="6FFC6BD4"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Eficientizarea instrumentelor de implementare a legislației prețurilor de transfer și a regulilor anti-abuz,</w:t>
      </w:r>
    </w:p>
    <w:p w14:paraId="44F6C72F" w14:textId="5F93D334"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 xml:space="preserve">Implementarea Standardelor minime BEPS </w:t>
      </w:r>
      <w:r w:rsidR="00822954">
        <w:rPr>
          <w:rFonts w:eastAsia="Calibri"/>
          <w:bCs/>
          <w:sz w:val="24"/>
          <w:szCs w:val="28"/>
          <w:lang w:val="ro-MD"/>
        </w:rPr>
        <w:t>(baz</w:t>
      </w:r>
      <w:r w:rsidR="000A579C">
        <w:rPr>
          <w:rFonts w:eastAsia="Calibri"/>
          <w:bCs/>
          <w:sz w:val="24"/>
          <w:szCs w:val="28"/>
          <w:lang w:val="ro-MD"/>
        </w:rPr>
        <w:t>ă</w:t>
      </w:r>
      <w:r w:rsidR="00822954">
        <w:rPr>
          <w:rFonts w:eastAsia="Calibri"/>
          <w:bCs/>
          <w:sz w:val="24"/>
          <w:szCs w:val="28"/>
          <w:lang w:val="ro-MD"/>
        </w:rPr>
        <w:t xml:space="preserve"> impozabilă și transferul profiturilor) </w:t>
      </w:r>
      <w:r w:rsidRPr="00312485">
        <w:rPr>
          <w:rFonts w:eastAsia="Calibri"/>
          <w:bCs/>
          <w:sz w:val="24"/>
          <w:szCs w:val="28"/>
          <w:lang w:val="ro-MD"/>
        </w:rPr>
        <w:t>ca urmare aderării la cadrul incluziv al OCDE,</w:t>
      </w:r>
    </w:p>
    <w:p w14:paraId="4A44250C"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Extinderea sistemului de monitorizare electronică a vânzărilor,</w:t>
      </w:r>
    </w:p>
    <w:p w14:paraId="334E286F"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Majorarea eficacității procesului penal,</w:t>
      </w:r>
    </w:p>
    <w:p w14:paraId="5871F374"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 xml:space="preserve">Revizuirea și actualizarea continuă a criteriilor de risc, facilitând selectarea mai eficientă a grupurilor de contribuabili care prezintă risc sporit de evaziune, </w:t>
      </w:r>
    </w:p>
    <w:p w14:paraId="26958DC5"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Dezvoltarea politicii de conformare a contribuabililor mari și persoanelor fizice cu venituri mari,</w:t>
      </w:r>
    </w:p>
    <w:p w14:paraId="526C963B"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Consolidarea strategiilor de control și majorarea eficienței și eficacității controalelor fiscale,</w:t>
      </w:r>
    </w:p>
    <w:p w14:paraId="2ACC4335" w14:textId="77777777"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Consolidarea acțiunilor de control în domeniile cu risc sporit de neconformare fiscală,</w:t>
      </w:r>
    </w:p>
    <w:p w14:paraId="793AFFB3" w14:textId="6468C243" w:rsidR="00C30A8E" w:rsidRPr="00312485" w:rsidRDefault="00C30A8E" w:rsidP="00C30A8E">
      <w:pPr>
        <w:numPr>
          <w:ilvl w:val="1"/>
          <w:numId w:val="23"/>
        </w:numPr>
        <w:tabs>
          <w:tab w:val="left" w:pos="426"/>
          <w:tab w:val="left" w:pos="709"/>
        </w:tabs>
        <w:ind w:left="0" w:firstLine="360"/>
        <w:rPr>
          <w:rFonts w:eastAsia="Calibri"/>
          <w:bCs/>
          <w:sz w:val="24"/>
          <w:szCs w:val="28"/>
          <w:lang w:val="ro-MD"/>
        </w:rPr>
      </w:pPr>
      <w:r w:rsidRPr="00312485">
        <w:rPr>
          <w:rFonts w:eastAsia="Calibri"/>
          <w:bCs/>
          <w:sz w:val="24"/>
          <w:szCs w:val="28"/>
          <w:lang w:val="ro-MD"/>
        </w:rPr>
        <w:t>Dezvoltarea programului automatizat de asigurare a disciplinei fiscale</w:t>
      </w:r>
      <w:r w:rsidR="0005475D" w:rsidRPr="00312485">
        <w:rPr>
          <w:rFonts w:eastAsia="Calibri"/>
          <w:bCs/>
          <w:sz w:val="24"/>
          <w:szCs w:val="28"/>
          <w:lang w:val="ro-MD"/>
        </w:rPr>
        <w:t>.</w:t>
      </w:r>
    </w:p>
    <w:p w14:paraId="0F9C89E0" w14:textId="77777777" w:rsidR="00627518" w:rsidRDefault="00627518" w:rsidP="00C30A8E">
      <w:pPr>
        <w:tabs>
          <w:tab w:val="left" w:pos="426"/>
          <w:tab w:val="left" w:pos="1134"/>
        </w:tabs>
        <w:spacing w:before="120" w:after="120"/>
        <w:ind w:firstLine="360"/>
        <w:rPr>
          <w:rFonts w:eastAsia="Calibri"/>
          <w:b/>
          <w:bCs/>
          <w:i/>
          <w:sz w:val="24"/>
          <w:szCs w:val="28"/>
          <w:lang w:val="ro-MD"/>
        </w:rPr>
      </w:pPr>
    </w:p>
    <w:p w14:paraId="67705FC0" w14:textId="63212536" w:rsidR="00C30A8E" w:rsidRPr="00312485" w:rsidRDefault="00C30A8E" w:rsidP="00C30A8E">
      <w:pPr>
        <w:tabs>
          <w:tab w:val="left" w:pos="426"/>
          <w:tab w:val="left" w:pos="1134"/>
        </w:tabs>
        <w:spacing w:before="120" w:after="120"/>
        <w:ind w:firstLine="360"/>
        <w:rPr>
          <w:rFonts w:eastAsia="Calibri"/>
          <w:b/>
          <w:bCs/>
          <w:i/>
          <w:sz w:val="24"/>
          <w:szCs w:val="28"/>
          <w:lang w:val="ro-MD"/>
        </w:rPr>
      </w:pPr>
      <w:r w:rsidRPr="00312485">
        <w:rPr>
          <w:rFonts w:eastAsia="Calibri"/>
          <w:b/>
          <w:bCs/>
          <w:i/>
          <w:sz w:val="24"/>
          <w:szCs w:val="28"/>
          <w:lang w:val="ro-MD"/>
        </w:rPr>
        <w:t>Transpunerea și implementarea reglementărilor UE:</w:t>
      </w:r>
    </w:p>
    <w:p w14:paraId="5D162DFA" w14:textId="79B2D1CE" w:rsidR="00C30A8E" w:rsidRPr="00312485" w:rsidRDefault="00C30A8E" w:rsidP="00C30A8E">
      <w:pPr>
        <w:pStyle w:val="Listparagraf"/>
        <w:numPr>
          <w:ilvl w:val="1"/>
          <w:numId w:val="23"/>
        </w:numPr>
        <w:tabs>
          <w:tab w:val="left" w:pos="426"/>
          <w:tab w:val="left" w:pos="709"/>
        </w:tabs>
        <w:spacing w:before="120" w:after="120"/>
        <w:ind w:left="284" w:firstLine="142"/>
        <w:rPr>
          <w:rFonts w:eastAsia="Calibri"/>
          <w:bCs/>
          <w:sz w:val="24"/>
          <w:szCs w:val="28"/>
          <w:lang w:val="ro-MD"/>
        </w:rPr>
      </w:pPr>
      <w:r w:rsidRPr="00312485">
        <w:rPr>
          <w:rFonts w:eastAsia="Calibri"/>
          <w:bCs/>
          <w:sz w:val="24"/>
          <w:szCs w:val="28"/>
          <w:lang w:val="ro-MD"/>
        </w:rPr>
        <w:t>Valorificarea ș</w:t>
      </w:r>
      <w:r w:rsidR="002C6A56">
        <w:rPr>
          <w:rFonts w:eastAsia="Calibri"/>
          <w:bCs/>
          <w:sz w:val="24"/>
          <w:szCs w:val="28"/>
          <w:lang w:val="ro-MD"/>
        </w:rPr>
        <w:t>i implementarea programului UE „</w:t>
      </w:r>
      <w:r w:rsidRPr="00312485">
        <w:rPr>
          <w:rFonts w:eastAsia="Calibri"/>
          <w:bCs/>
          <w:sz w:val="24"/>
          <w:szCs w:val="28"/>
          <w:lang w:val="ro-MD"/>
        </w:rPr>
        <w:t>FISCALIS” și a altor instrumente de asistență și schimb de experiență.</w:t>
      </w:r>
    </w:p>
    <w:p w14:paraId="36EEB8DF" w14:textId="77777777" w:rsidR="00C30A8E" w:rsidRPr="00312485" w:rsidRDefault="00C30A8E" w:rsidP="00C30A8E">
      <w:pPr>
        <w:tabs>
          <w:tab w:val="left" w:pos="426"/>
          <w:tab w:val="left" w:pos="1134"/>
        </w:tabs>
        <w:spacing w:before="120" w:after="120"/>
        <w:ind w:firstLine="360"/>
        <w:rPr>
          <w:rFonts w:eastAsia="Calibri"/>
          <w:b/>
          <w:bCs/>
          <w:i/>
          <w:sz w:val="24"/>
          <w:szCs w:val="28"/>
          <w:lang w:val="ro-MD"/>
        </w:rPr>
      </w:pPr>
      <w:r w:rsidRPr="00312485">
        <w:rPr>
          <w:rFonts w:eastAsia="Calibri"/>
          <w:b/>
          <w:bCs/>
          <w:i/>
          <w:sz w:val="24"/>
          <w:szCs w:val="28"/>
          <w:lang w:val="ro-MD"/>
        </w:rPr>
        <w:t>Implementarea standardelor internaționale în domeniul fiscal:</w:t>
      </w:r>
    </w:p>
    <w:p w14:paraId="7F370FCF" w14:textId="77777777" w:rsidR="00C30A8E" w:rsidRPr="00312485" w:rsidRDefault="00C30A8E" w:rsidP="00C30A8E">
      <w:pPr>
        <w:numPr>
          <w:ilvl w:val="1"/>
          <w:numId w:val="24"/>
        </w:numPr>
        <w:tabs>
          <w:tab w:val="left" w:pos="426"/>
          <w:tab w:val="left" w:pos="709"/>
        </w:tabs>
        <w:ind w:left="0" w:firstLine="426"/>
        <w:rPr>
          <w:rFonts w:eastAsia="Calibri"/>
          <w:bCs/>
          <w:sz w:val="24"/>
          <w:szCs w:val="28"/>
          <w:lang w:val="ro-MD"/>
        </w:rPr>
      </w:pPr>
      <w:r w:rsidRPr="00312485">
        <w:rPr>
          <w:rFonts w:eastAsia="Calibri"/>
          <w:bCs/>
          <w:sz w:val="24"/>
          <w:szCs w:val="28"/>
          <w:lang w:val="ro-MD"/>
        </w:rPr>
        <w:t>Consolidarea schimbului de informații la solicitare,</w:t>
      </w:r>
    </w:p>
    <w:p w14:paraId="7E667F5E" w14:textId="77777777" w:rsidR="00C30A8E" w:rsidRPr="00312485" w:rsidRDefault="00C30A8E" w:rsidP="00C30A8E">
      <w:pPr>
        <w:numPr>
          <w:ilvl w:val="1"/>
          <w:numId w:val="24"/>
        </w:numPr>
        <w:tabs>
          <w:tab w:val="left" w:pos="426"/>
          <w:tab w:val="left" w:pos="709"/>
        </w:tabs>
        <w:ind w:left="0" w:firstLine="426"/>
        <w:rPr>
          <w:rFonts w:eastAsia="Calibri"/>
          <w:bCs/>
          <w:sz w:val="24"/>
          <w:szCs w:val="28"/>
          <w:lang w:val="ro-MD"/>
        </w:rPr>
      </w:pPr>
      <w:r w:rsidRPr="00312485">
        <w:rPr>
          <w:rFonts w:eastAsia="Calibri"/>
          <w:bCs/>
          <w:sz w:val="24"/>
          <w:szCs w:val="28"/>
          <w:lang w:val="ro-MD"/>
        </w:rPr>
        <w:t>Continuarea colaborărilor cu părțile interesate în vederea asigurării eficiente a schimbului automatizat de informații privind conturile financiare.</w:t>
      </w:r>
    </w:p>
    <w:p w14:paraId="3D312D10" w14:textId="77777777" w:rsidR="00C30A8E" w:rsidRPr="00312485" w:rsidRDefault="00C30A8E" w:rsidP="00C30A8E">
      <w:pPr>
        <w:tabs>
          <w:tab w:val="left" w:pos="426"/>
          <w:tab w:val="left" w:pos="1134"/>
        </w:tabs>
        <w:spacing w:before="120" w:after="120"/>
        <w:ind w:firstLine="360"/>
        <w:rPr>
          <w:rFonts w:eastAsia="Calibri"/>
          <w:b/>
          <w:bCs/>
          <w:i/>
          <w:sz w:val="24"/>
          <w:szCs w:val="28"/>
          <w:lang w:val="ro-MD"/>
        </w:rPr>
      </w:pPr>
      <w:r w:rsidRPr="00312485">
        <w:rPr>
          <w:rFonts w:eastAsia="Calibri"/>
          <w:b/>
          <w:bCs/>
          <w:i/>
          <w:sz w:val="24"/>
          <w:szCs w:val="28"/>
          <w:lang w:val="ro-MD"/>
        </w:rPr>
        <w:t>Asigurarea interoperabilității/interconexiunii cu sistemele UE în domeniul fiscal:</w:t>
      </w:r>
    </w:p>
    <w:p w14:paraId="229A98A7"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Elaborarea Cartei de dezvoltare a sistemului informațional,</w:t>
      </w:r>
    </w:p>
    <w:p w14:paraId="1FDF1058" w14:textId="33FEB874"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lastRenderedPageBreak/>
        <w:t>A</w:t>
      </w:r>
      <w:r w:rsidR="00B00FF6" w:rsidRPr="00312485">
        <w:rPr>
          <w:rFonts w:eastAsia="Calibri"/>
          <w:bCs/>
          <w:sz w:val="24"/>
          <w:szCs w:val="28"/>
          <w:lang w:val="ro-MD"/>
        </w:rPr>
        <w:t>derarea la programul OCDE/PNUD „</w:t>
      </w:r>
      <w:r w:rsidRPr="00312485">
        <w:rPr>
          <w:rFonts w:eastAsia="Calibri"/>
          <w:bCs/>
          <w:sz w:val="24"/>
          <w:szCs w:val="28"/>
          <w:lang w:val="ro-MD"/>
        </w:rPr>
        <w:t>Inspectori fiscali fără frontiere”,</w:t>
      </w:r>
    </w:p>
    <w:p w14:paraId="4B82B2FF"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 xml:space="preserve">Asigurarea interoperabilității dintre portalul </w:t>
      </w:r>
      <w:hyperlink r:id="rId10" w:history="1">
        <w:r w:rsidRPr="00312485">
          <w:rPr>
            <w:rStyle w:val="Hyperlink"/>
            <w:rFonts w:eastAsia="Calibri"/>
            <w:bCs/>
            <w:sz w:val="24"/>
            <w:szCs w:val="28"/>
            <w:lang w:val="ro-MD"/>
          </w:rPr>
          <w:t>www.mcabinet.gov.md</w:t>
        </w:r>
      </w:hyperlink>
      <w:r w:rsidRPr="00312485">
        <w:rPr>
          <w:rFonts w:eastAsia="Calibri"/>
          <w:bCs/>
          <w:sz w:val="24"/>
          <w:szCs w:val="28"/>
          <w:lang w:val="ro-MD"/>
        </w:rPr>
        <w:t xml:space="preserve">  și serviciile oferite de Serviciul Fiscal de Stat,</w:t>
      </w:r>
    </w:p>
    <w:p w14:paraId="7019AEDC"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 xml:space="preserve">Dezvoltarea continuă a schimbului de date prin intermediul </w:t>
      </w:r>
      <w:proofErr w:type="spellStart"/>
      <w:r w:rsidRPr="00312485">
        <w:rPr>
          <w:rFonts w:eastAsia="Calibri"/>
          <w:bCs/>
          <w:sz w:val="24"/>
          <w:szCs w:val="28"/>
          <w:lang w:val="ro-MD"/>
        </w:rPr>
        <w:t>MConnect</w:t>
      </w:r>
      <w:proofErr w:type="spellEnd"/>
      <w:r w:rsidRPr="00312485">
        <w:rPr>
          <w:rFonts w:eastAsia="Calibri"/>
          <w:bCs/>
          <w:sz w:val="24"/>
          <w:szCs w:val="28"/>
          <w:lang w:val="ro-MD"/>
        </w:rPr>
        <w:t>,</w:t>
      </w:r>
    </w:p>
    <w:p w14:paraId="2456200A"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Dezvoltarea sistemului automatizat de management al riscurilor de conformare,</w:t>
      </w:r>
    </w:p>
    <w:p w14:paraId="1717EBB0"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Dezvoltarea sistemului automatizat de management al recuperării creanțelor,</w:t>
      </w:r>
    </w:p>
    <w:p w14:paraId="0BB9806E" w14:textId="77777777" w:rsidR="00C30A8E" w:rsidRPr="00312485" w:rsidRDefault="00C30A8E" w:rsidP="00C30A8E">
      <w:pPr>
        <w:numPr>
          <w:ilvl w:val="1"/>
          <w:numId w:val="25"/>
        </w:numPr>
        <w:tabs>
          <w:tab w:val="left" w:pos="426"/>
          <w:tab w:val="left" w:pos="709"/>
        </w:tabs>
        <w:ind w:left="0" w:firstLine="426"/>
        <w:rPr>
          <w:rFonts w:eastAsia="Calibri"/>
          <w:bCs/>
          <w:sz w:val="24"/>
          <w:szCs w:val="28"/>
          <w:lang w:val="ro-MD"/>
        </w:rPr>
      </w:pPr>
      <w:r w:rsidRPr="00312485">
        <w:rPr>
          <w:rFonts w:eastAsia="Calibri"/>
          <w:bCs/>
          <w:sz w:val="24"/>
          <w:szCs w:val="28"/>
          <w:lang w:val="ro-MD"/>
        </w:rPr>
        <w:t>Simplificarea și automatizarea proceselor de restituire a TVA și restituire a accizelor.</w:t>
      </w:r>
    </w:p>
    <w:p w14:paraId="6680A5FE" w14:textId="77777777" w:rsidR="00C30A8E" w:rsidRPr="00312485" w:rsidRDefault="00C30A8E" w:rsidP="00C30A8E">
      <w:pPr>
        <w:tabs>
          <w:tab w:val="left" w:pos="426"/>
          <w:tab w:val="left" w:pos="851"/>
          <w:tab w:val="left" w:pos="993"/>
        </w:tabs>
        <w:spacing w:before="240" w:after="60"/>
        <w:ind w:firstLine="360"/>
        <w:rPr>
          <w:rFonts w:eastAsia="Calibri"/>
          <w:b/>
          <w:bCs/>
          <w:sz w:val="24"/>
          <w:szCs w:val="28"/>
          <w:lang w:val="ro-MD"/>
        </w:rPr>
      </w:pPr>
      <w:r w:rsidRPr="00312485">
        <w:rPr>
          <w:rFonts w:eastAsia="Calibri"/>
          <w:b/>
          <w:bCs/>
          <w:sz w:val="24"/>
          <w:szCs w:val="28"/>
          <w:lang w:val="ro-MD"/>
        </w:rPr>
        <w:t>Obiective ale activității vamale pentru anii 2026-2028:</w:t>
      </w:r>
    </w:p>
    <w:p w14:paraId="706CFDA7" w14:textId="77777777" w:rsidR="00C30A8E" w:rsidRPr="00312485" w:rsidRDefault="00C30A8E" w:rsidP="00C30A8E">
      <w:pPr>
        <w:tabs>
          <w:tab w:val="left" w:pos="426"/>
        </w:tabs>
        <w:spacing w:before="240" w:after="60"/>
        <w:ind w:firstLine="360"/>
        <w:rPr>
          <w:rFonts w:eastAsia="Calibri"/>
          <w:b/>
          <w:bCs/>
          <w:i/>
          <w:sz w:val="24"/>
          <w:szCs w:val="28"/>
          <w:lang w:val="ro-MD"/>
        </w:rPr>
      </w:pPr>
      <w:r w:rsidRPr="00312485">
        <w:rPr>
          <w:rFonts w:eastAsia="Calibri"/>
          <w:b/>
          <w:bCs/>
          <w:i/>
          <w:sz w:val="24"/>
          <w:szCs w:val="28"/>
          <w:lang w:val="ro-MD"/>
        </w:rPr>
        <w:t>Asigurarea mobilizării veniturilor prin sporirea capacității Serviciului Vamal de administrare:</w:t>
      </w:r>
    </w:p>
    <w:p w14:paraId="204BDD97" w14:textId="2CF5D4DF" w:rsidR="00C30A8E" w:rsidRPr="00312485" w:rsidRDefault="00C30A8E" w:rsidP="00B00FF6">
      <w:pPr>
        <w:pStyle w:val="Listparagraf"/>
        <w:numPr>
          <w:ilvl w:val="0"/>
          <w:numId w:val="26"/>
        </w:numPr>
        <w:tabs>
          <w:tab w:val="left" w:pos="426"/>
        </w:tabs>
        <w:spacing w:after="60"/>
        <w:ind w:left="0" w:firstLine="425"/>
        <w:rPr>
          <w:rFonts w:eastAsia="Calibri"/>
          <w:bCs/>
          <w:sz w:val="24"/>
          <w:szCs w:val="28"/>
          <w:lang w:val="ro-MD"/>
        </w:rPr>
      </w:pPr>
      <w:r w:rsidRPr="00312485">
        <w:rPr>
          <w:rFonts w:eastAsia="Calibri"/>
          <w:bCs/>
          <w:sz w:val="24"/>
          <w:szCs w:val="28"/>
          <w:lang w:val="ro-MD"/>
        </w:rPr>
        <w:t xml:space="preserve">Promovarea normelor </w:t>
      </w:r>
      <w:proofErr w:type="spellStart"/>
      <w:r w:rsidRPr="00312485">
        <w:rPr>
          <w:rFonts w:eastAsia="Calibri"/>
          <w:bCs/>
          <w:sz w:val="24"/>
          <w:szCs w:val="28"/>
          <w:lang w:val="ro-MD"/>
        </w:rPr>
        <w:t>şi</w:t>
      </w:r>
      <w:proofErr w:type="spellEnd"/>
      <w:r w:rsidRPr="00312485">
        <w:rPr>
          <w:rFonts w:eastAsia="Calibri"/>
          <w:bCs/>
          <w:sz w:val="24"/>
          <w:szCs w:val="28"/>
          <w:lang w:val="ro-MD"/>
        </w:rPr>
        <w:t xml:space="preserve"> standardelor </w:t>
      </w:r>
      <w:r w:rsidR="00186B12" w:rsidRPr="00312485">
        <w:rPr>
          <w:rFonts w:eastAsia="Calibri"/>
          <w:bCs/>
          <w:sz w:val="24"/>
          <w:szCs w:val="28"/>
          <w:lang w:val="ro-MD"/>
        </w:rPr>
        <w:t>internaționale</w:t>
      </w:r>
      <w:r w:rsidRPr="00312485">
        <w:rPr>
          <w:rFonts w:eastAsia="Calibri"/>
          <w:bCs/>
          <w:sz w:val="24"/>
          <w:szCs w:val="28"/>
          <w:lang w:val="ro-MD"/>
        </w:rPr>
        <w:t xml:space="preserve"> în domeniul vamal în vederea reducerii duratei </w:t>
      </w:r>
      <w:proofErr w:type="spellStart"/>
      <w:r w:rsidRPr="00312485">
        <w:rPr>
          <w:rFonts w:eastAsia="Calibri"/>
          <w:bCs/>
          <w:sz w:val="24"/>
          <w:szCs w:val="28"/>
          <w:lang w:val="ro-MD"/>
        </w:rPr>
        <w:t>şi</w:t>
      </w:r>
      <w:proofErr w:type="spellEnd"/>
      <w:r w:rsidRPr="00312485">
        <w:rPr>
          <w:rFonts w:eastAsia="Calibri"/>
          <w:bCs/>
          <w:sz w:val="24"/>
          <w:szCs w:val="28"/>
          <w:lang w:val="ro-MD"/>
        </w:rPr>
        <w:t xml:space="preserve"> costurilor efectiv suportate de </w:t>
      </w:r>
      <w:r w:rsidR="00186B12" w:rsidRPr="00312485">
        <w:rPr>
          <w:rFonts w:eastAsia="Calibri"/>
          <w:bCs/>
          <w:sz w:val="24"/>
          <w:szCs w:val="28"/>
          <w:lang w:val="ro-MD"/>
        </w:rPr>
        <w:t>agenții</w:t>
      </w:r>
      <w:r w:rsidRPr="00312485">
        <w:rPr>
          <w:rFonts w:eastAsia="Calibri"/>
          <w:bCs/>
          <w:sz w:val="24"/>
          <w:szCs w:val="28"/>
          <w:lang w:val="ro-MD"/>
        </w:rPr>
        <w:t xml:space="preserve"> economici pentru vămuirea mărfurilor,</w:t>
      </w:r>
    </w:p>
    <w:p w14:paraId="1980AF51" w14:textId="77777777" w:rsidR="00C30A8E" w:rsidRPr="00312485" w:rsidRDefault="00C30A8E" w:rsidP="00C30A8E">
      <w:pPr>
        <w:pStyle w:val="Listparagraf"/>
        <w:numPr>
          <w:ilvl w:val="0"/>
          <w:numId w:val="26"/>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Aprobarea și implementarea Strategiei Naționale privind modernizarea și armonizarea sistemelor informaționale vamale în corespundere cu standardele comunitare,</w:t>
      </w:r>
    </w:p>
    <w:p w14:paraId="78D27882" w14:textId="77777777" w:rsidR="00C30A8E" w:rsidRPr="00312485" w:rsidRDefault="00C30A8E" w:rsidP="00C30A8E">
      <w:pPr>
        <w:pStyle w:val="Listparagraf"/>
        <w:numPr>
          <w:ilvl w:val="0"/>
          <w:numId w:val="26"/>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Punerea în aplicare a Noului sistem computerizat de tranzit (NCTS),</w:t>
      </w:r>
    </w:p>
    <w:p w14:paraId="3D661B5F" w14:textId="77777777" w:rsidR="00C30A8E" w:rsidRPr="00312485" w:rsidRDefault="00C30A8E" w:rsidP="00C30A8E">
      <w:pPr>
        <w:pStyle w:val="Listparagraf"/>
        <w:numPr>
          <w:ilvl w:val="0"/>
          <w:numId w:val="26"/>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Dezvoltarea procedurilor simplificate de vămuire (procedura declarației simplificate, procedura înscrierii în evidențe a declarantului),</w:t>
      </w:r>
    </w:p>
    <w:p w14:paraId="1134E701" w14:textId="726EF55A" w:rsidR="00C30A8E" w:rsidRPr="00312485" w:rsidRDefault="00C30A8E" w:rsidP="00C30A8E">
      <w:pPr>
        <w:pStyle w:val="Listparagraf"/>
        <w:numPr>
          <w:ilvl w:val="0"/>
          <w:numId w:val="26"/>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 xml:space="preserve"> Monitorizarea implementării Deciziei de recunoaștere reciproc</w:t>
      </w:r>
      <w:r w:rsidR="003A5DF9">
        <w:rPr>
          <w:rFonts w:eastAsia="Calibri"/>
          <w:bCs/>
          <w:sz w:val="24"/>
          <w:szCs w:val="28"/>
          <w:lang w:val="ro-MD"/>
        </w:rPr>
        <w:t>ă</w:t>
      </w:r>
      <w:r w:rsidRPr="00312485">
        <w:rPr>
          <w:rFonts w:eastAsia="Calibri"/>
          <w:bCs/>
          <w:sz w:val="24"/>
          <w:szCs w:val="28"/>
          <w:lang w:val="ro-MD"/>
        </w:rPr>
        <w:t xml:space="preserve"> a operatorilor economici autorizați (AEO) cu statele membre UE.</w:t>
      </w:r>
    </w:p>
    <w:p w14:paraId="358EBC86" w14:textId="77E27E99" w:rsidR="00C30A8E" w:rsidRPr="00312485" w:rsidRDefault="00C30A8E" w:rsidP="00C30A8E">
      <w:pPr>
        <w:tabs>
          <w:tab w:val="left" w:pos="426"/>
        </w:tabs>
        <w:spacing w:before="240" w:after="60"/>
        <w:ind w:firstLine="360"/>
        <w:rPr>
          <w:rFonts w:eastAsia="Calibri"/>
          <w:b/>
          <w:bCs/>
          <w:i/>
          <w:sz w:val="24"/>
          <w:szCs w:val="28"/>
          <w:lang w:val="ro-MD"/>
        </w:rPr>
      </w:pPr>
      <w:r w:rsidRPr="00312485">
        <w:rPr>
          <w:rFonts w:eastAsia="Calibri"/>
          <w:bCs/>
          <w:sz w:val="24"/>
          <w:szCs w:val="28"/>
          <w:lang w:val="ro-MD"/>
        </w:rPr>
        <w:t xml:space="preserve"> </w:t>
      </w:r>
      <w:r w:rsidRPr="00312485">
        <w:rPr>
          <w:rFonts w:eastAsia="Calibri"/>
          <w:b/>
          <w:bCs/>
          <w:i/>
          <w:sz w:val="24"/>
          <w:szCs w:val="28"/>
          <w:lang w:val="ro-MD"/>
        </w:rPr>
        <w:t xml:space="preserve">Sporirea nivelului de securitate economică a statului </w:t>
      </w:r>
      <w:proofErr w:type="spellStart"/>
      <w:r w:rsidRPr="00312485">
        <w:rPr>
          <w:rFonts w:eastAsia="Calibri"/>
          <w:b/>
          <w:bCs/>
          <w:i/>
          <w:sz w:val="24"/>
          <w:szCs w:val="28"/>
          <w:lang w:val="ro-MD"/>
        </w:rPr>
        <w:t>şi</w:t>
      </w:r>
      <w:proofErr w:type="spellEnd"/>
      <w:r w:rsidRPr="00312485">
        <w:rPr>
          <w:rFonts w:eastAsia="Calibri"/>
          <w:b/>
          <w:bCs/>
          <w:i/>
          <w:sz w:val="24"/>
          <w:szCs w:val="28"/>
          <w:lang w:val="ro-MD"/>
        </w:rPr>
        <w:t xml:space="preserve"> de securizare a frontierei de stat:</w:t>
      </w:r>
    </w:p>
    <w:p w14:paraId="3FE32C22" w14:textId="77777777" w:rsidR="00C30A8E" w:rsidRPr="00312485" w:rsidRDefault="00C30A8E" w:rsidP="00861A39">
      <w:pPr>
        <w:pStyle w:val="Listparagraf"/>
        <w:numPr>
          <w:ilvl w:val="0"/>
          <w:numId w:val="27"/>
        </w:numPr>
        <w:tabs>
          <w:tab w:val="left" w:pos="426"/>
        </w:tabs>
        <w:spacing w:after="60"/>
        <w:ind w:left="0" w:firstLine="425"/>
        <w:rPr>
          <w:rFonts w:eastAsia="Calibri"/>
          <w:bCs/>
          <w:sz w:val="24"/>
          <w:szCs w:val="28"/>
          <w:lang w:val="ro-MD"/>
        </w:rPr>
      </w:pPr>
      <w:r w:rsidRPr="00312485">
        <w:rPr>
          <w:rFonts w:eastAsia="Calibri"/>
          <w:bCs/>
          <w:sz w:val="24"/>
          <w:szCs w:val="28"/>
          <w:lang w:val="ro-MD"/>
        </w:rPr>
        <w:t xml:space="preserve">Eficientizarea măsurilor de prevenire </w:t>
      </w:r>
      <w:proofErr w:type="spellStart"/>
      <w:r w:rsidRPr="00312485">
        <w:rPr>
          <w:rFonts w:eastAsia="Calibri"/>
          <w:bCs/>
          <w:sz w:val="24"/>
          <w:szCs w:val="28"/>
          <w:lang w:val="ro-MD"/>
        </w:rPr>
        <w:t>şi</w:t>
      </w:r>
      <w:proofErr w:type="spellEnd"/>
      <w:r w:rsidRPr="00312485">
        <w:rPr>
          <w:rFonts w:eastAsia="Calibri"/>
          <w:bCs/>
          <w:sz w:val="24"/>
          <w:szCs w:val="28"/>
          <w:lang w:val="ro-MD"/>
        </w:rPr>
        <w:t xml:space="preserve"> combatere a fraudelor vamale,</w:t>
      </w:r>
    </w:p>
    <w:p w14:paraId="0920EAD3" w14:textId="77777777" w:rsidR="00C30A8E" w:rsidRPr="00312485" w:rsidRDefault="00C30A8E" w:rsidP="00C30A8E">
      <w:pPr>
        <w:pStyle w:val="Listparagraf"/>
        <w:numPr>
          <w:ilvl w:val="0"/>
          <w:numId w:val="27"/>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Continuarea cooperării cu Oficiul European Antifraudă (OLAF) și Parchetul European în lupta împotriva contrabandei,</w:t>
      </w:r>
    </w:p>
    <w:p w14:paraId="4EDD454B" w14:textId="77777777" w:rsidR="00C30A8E" w:rsidRPr="00312485" w:rsidRDefault="00C30A8E" w:rsidP="00C30A8E">
      <w:pPr>
        <w:pStyle w:val="Listparagraf"/>
        <w:numPr>
          <w:ilvl w:val="0"/>
          <w:numId w:val="27"/>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 xml:space="preserve">Consolidarea managementului riscurilor în cadrul Serviciului Vamal, </w:t>
      </w:r>
    </w:p>
    <w:p w14:paraId="19B82145" w14:textId="77777777" w:rsidR="00C30A8E" w:rsidRPr="00312485" w:rsidRDefault="00C30A8E" w:rsidP="00C30A8E">
      <w:pPr>
        <w:pStyle w:val="Listparagraf"/>
        <w:numPr>
          <w:ilvl w:val="0"/>
          <w:numId w:val="27"/>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Prevenirea, investigarea și combaterea schemelor ilegale și a corupției, precum și eliminarea intereselor personale și obscure care au tangență cu perimetrul transnistrean și care prejudiciază bugetul de stat și dezvoltarea economică durabilă a țării,</w:t>
      </w:r>
    </w:p>
    <w:p w14:paraId="47E1116F" w14:textId="4FE03AB2" w:rsidR="00C30A8E" w:rsidRPr="00312485" w:rsidRDefault="00C30A8E" w:rsidP="00C30A8E">
      <w:pPr>
        <w:pStyle w:val="Listparagraf"/>
        <w:numPr>
          <w:ilvl w:val="0"/>
          <w:numId w:val="27"/>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 xml:space="preserve">Consolidarea </w:t>
      </w:r>
      <w:r w:rsidR="00507FE7" w:rsidRPr="00312485">
        <w:rPr>
          <w:rFonts w:eastAsia="Calibri"/>
          <w:bCs/>
          <w:sz w:val="24"/>
          <w:szCs w:val="28"/>
          <w:lang w:val="ro-MD"/>
        </w:rPr>
        <w:t>competențelor</w:t>
      </w:r>
      <w:r w:rsidRPr="00312485">
        <w:rPr>
          <w:rFonts w:eastAsia="Calibri"/>
          <w:bCs/>
          <w:sz w:val="24"/>
          <w:szCs w:val="28"/>
          <w:lang w:val="ro-MD"/>
        </w:rPr>
        <w:t xml:space="preserve"> Serviciului Vamal în domeniul auditului post-vămuire, bazat pe sistemul </w:t>
      </w:r>
      <w:r w:rsidR="00507FE7" w:rsidRPr="00312485">
        <w:rPr>
          <w:rFonts w:eastAsia="Calibri"/>
          <w:bCs/>
          <w:sz w:val="24"/>
          <w:szCs w:val="28"/>
          <w:lang w:val="ro-MD"/>
        </w:rPr>
        <w:t>informațional</w:t>
      </w:r>
      <w:r w:rsidRPr="00312485">
        <w:rPr>
          <w:rFonts w:eastAsia="Calibri"/>
          <w:bCs/>
          <w:sz w:val="24"/>
          <w:szCs w:val="28"/>
          <w:lang w:val="ro-MD"/>
        </w:rPr>
        <w:t xml:space="preserve"> automatizat, specializat în efectuarea analizei de risc </w:t>
      </w:r>
      <w:proofErr w:type="spellStart"/>
      <w:r w:rsidRPr="00312485">
        <w:rPr>
          <w:rFonts w:eastAsia="Calibri"/>
          <w:bCs/>
          <w:sz w:val="24"/>
          <w:szCs w:val="28"/>
          <w:lang w:val="ro-MD"/>
        </w:rPr>
        <w:t>şi</w:t>
      </w:r>
      <w:proofErr w:type="spellEnd"/>
      <w:r w:rsidRPr="00312485">
        <w:rPr>
          <w:rFonts w:eastAsia="Calibri"/>
          <w:bCs/>
          <w:sz w:val="24"/>
          <w:szCs w:val="28"/>
          <w:lang w:val="ro-MD"/>
        </w:rPr>
        <w:t xml:space="preserve"> selectarea </w:t>
      </w:r>
      <w:r w:rsidR="00507FE7" w:rsidRPr="00312485">
        <w:rPr>
          <w:rFonts w:eastAsia="Calibri"/>
          <w:bCs/>
          <w:sz w:val="24"/>
          <w:szCs w:val="28"/>
          <w:lang w:val="ro-MD"/>
        </w:rPr>
        <w:t>agenților</w:t>
      </w:r>
      <w:r w:rsidRPr="00312485">
        <w:rPr>
          <w:rFonts w:eastAsia="Calibri"/>
          <w:bCs/>
          <w:sz w:val="24"/>
          <w:szCs w:val="28"/>
          <w:lang w:val="ro-MD"/>
        </w:rPr>
        <w:t xml:space="preserve"> economici pentru efectuarea controlului ulterior.</w:t>
      </w:r>
    </w:p>
    <w:p w14:paraId="2066A019" w14:textId="4680D4CC" w:rsidR="00C30A8E" w:rsidRPr="00312485" w:rsidRDefault="00C30A8E" w:rsidP="000A7049">
      <w:pPr>
        <w:tabs>
          <w:tab w:val="left" w:pos="426"/>
        </w:tabs>
        <w:ind w:firstLine="357"/>
        <w:rPr>
          <w:rFonts w:eastAsia="Calibri"/>
          <w:b/>
          <w:bCs/>
          <w:i/>
          <w:sz w:val="24"/>
          <w:szCs w:val="28"/>
          <w:lang w:val="ro-MD"/>
        </w:rPr>
      </w:pPr>
      <w:r w:rsidRPr="00312485">
        <w:rPr>
          <w:rFonts w:eastAsia="Calibri"/>
          <w:b/>
          <w:bCs/>
          <w:i/>
          <w:sz w:val="24"/>
          <w:szCs w:val="28"/>
          <w:lang w:val="ro-MD"/>
        </w:rPr>
        <w:t>Modernizarea infrastructurii Serviciului Vamal prin prisma gestionării coerente și eficiente a proiectelor de asistență:</w:t>
      </w:r>
    </w:p>
    <w:p w14:paraId="1C18B195" w14:textId="4CBE5461" w:rsidR="00C30A8E" w:rsidRPr="00312485" w:rsidRDefault="00C30A8E" w:rsidP="000A7049">
      <w:pPr>
        <w:pStyle w:val="Listparagraf"/>
        <w:numPr>
          <w:ilvl w:val="0"/>
          <w:numId w:val="28"/>
        </w:numPr>
        <w:tabs>
          <w:tab w:val="left" w:pos="426"/>
        </w:tabs>
        <w:ind w:left="0" w:firstLine="425"/>
        <w:contextualSpacing w:val="0"/>
        <w:rPr>
          <w:rFonts w:eastAsia="Calibri"/>
          <w:bCs/>
          <w:sz w:val="24"/>
          <w:szCs w:val="28"/>
          <w:lang w:val="ro-MD"/>
        </w:rPr>
      </w:pPr>
      <w:r w:rsidRPr="00312485">
        <w:rPr>
          <w:rFonts w:eastAsia="Calibri"/>
          <w:bCs/>
          <w:sz w:val="24"/>
          <w:szCs w:val="28"/>
          <w:lang w:val="ro-MD"/>
        </w:rPr>
        <w:t>Dezvoltarea infrastructurii aferente AEO în celelalte posturi vamale de frontieră cu Romania, pentru extinderea implementării recunoașterii mutuale a AEO cu UE și traversarea prio</w:t>
      </w:r>
      <w:r w:rsidR="00684FE4" w:rsidRPr="00312485">
        <w:rPr>
          <w:rFonts w:eastAsia="Calibri"/>
          <w:bCs/>
          <w:sz w:val="24"/>
          <w:szCs w:val="28"/>
          <w:lang w:val="ro-MD"/>
        </w:rPr>
        <w:t>ritară a frontierei de stat;</w:t>
      </w:r>
    </w:p>
    <w:p w14:paraId="7A615414" w14:textId="3109C973" w:rsidR="00C30A8E" w:rsidRPr="00312485" w:rsidRDefault="00C30A8E" w:rsidP="00C30A8E">
      <w:pPr>
        <w:pStyle w:val="Listparagraf"/>
        <w:numPr>
          <w:ilvl w:val="0"/>
          <w:numId w:val="28"/>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Consolidarea implementării în cadrul punctelor de trecere a frontierei de stat rutiere a sistemului electronic de management al rândurilor la traversarea frontierei de s</w:t>
      </w:r>
      <w:r w:rsidR="00684FE4" w:rsidRPr="00312485">
        <w:rPr>
          <w:rFonts w:eastAsia="Calibri"/>
          <w:bCs/>
          <w:sz w:val="24"/>
          <w:szCs w:val="28"/>
          <w:lang w:val="ro-MD"/>
        </w:rPr>
        <w:t>tat;</w:t>
      </w:r>
    </w:p>
    <w:p w14:paraId="5EF6136F" w14:textId="0D956607" w:rsidR="00186B12" w:rsidRPr="00312485" w:rsidRDefault="00C30A8E" w:rsidP="001D373E">
      <w:pPr>
        <w:pStyle w:val="Listparagraf"/>
        <w:numPr>
          <w:ilvl w:val="0"/>
          <w:numId w:val="28"/>
        </w:numPr>
        <w:tabs>
          <w:tab w:val="left" w:pos="426"/>
        </w:tabs>
        <w:spacing w:before="240" w:after="60"/>
        <w:ind w:left="0" w:firstLine="426"/>
        <w:rPr>
          <w:rFonts w:eastAsia="Calibri"/>
          <w:bCs/>
          <w:sz w:val="24"/>
          <w:szCs w:val="28"/>
          <w:lang w:val="ro-MD"/>
        </w:rPr>
      </w:pPr>
      <w:r w:rsidRPr="00312485">
        <w:rPr>
          <w:rFonts w:eastAsia="Calibri"/>
          <w:bCs/>
          <w:sz w:val="24"/>
          <w:szCs w:val="28"/>
          <w:lang w:val="ro-MD"/>
        </w:rPr>
        <w:t>Modernizarea și reconstrucția infrastructurii vamale (programul Mecanismul pentru Interconectarea Europei (</w:t>
      </w:r>
      <w:proofErr w:type="spellStart"/>
      <w:r w:rsidRPr="00312485">
        <w:rPr>
          <w:rFonts w:eastAsia="Calibri"/>
          <w:bCs/>
          <w:sz w:val="24"/>
          <w:szCs w:val="28"/>
          <w:lang w:val="ro-MD"/>
        </w:rPr>
        <w:t>Connecting</w:t>
      </w:r>
      <w:proofErr w:type="spellEnd"/>
      <w:r w:rsidRPr="00312485">
        <w:rPr>
          <w:rFonts w:eastAsia="Calibri"/>
          <w:bCs/>
          <w:sz w:val="24"/>
          <w:szCs w:val="28"/>
          <w:lang w:val="ro-MD"/>
        </w:rPr>
        <w:t xml:space="preserve"> Europe </w:t>
      </w:r>
      <w:proofErr w:type="spellStart"/>
      <w:r w:rsidRPr="00312485">
        <w:rPr>
          <w:rFonts w:eastAsia="Calibri"/>
          <w:bCs/>
          <w:sz w:val="24"/>
          <w:szCs w:val="28"/>
          <w:lang w:val="ro-MD"/>
        </w:rPr>
        <w:t>Facility</w:t>
      </w:r>
      <w:proofErr w:type="spellEnd"/>
      <w:r w:rsidRPr="00312485">
        <w:rPr>
          <w:rFonts w:eastAsia="Calibri"/>
          <w:bCs/>
          <w:sz w:val="24"/>
          <w:szCs w:val="28"/>
          <w:lang w:val="ro-MD"/>
        </w:rPr>
        <w:t xml:space="preserve">). Finanțarea este destinată dezvoltării infrastructurii transfrontaliere Ungheni (MD) - Ungheni (RO), Leușeni (MD) – Albița (RO) și </w:t>
      </w:r>
      <w:r w:rsidR="001D373E" w:rsidRPr="00312485">
        <w:rPr>
          <w:rFonts w:eastAsia="Calibri"/>
          <w:bCs/>
          <w:sz w:val="24"/>
          <w:szCs w:val="28"/>
          <w:lang w:val="ro-MD"/>
        </w:rPr>
        <w:t>Giurgiulești (MD) – Galați (RO)</w:t>
      </w:r>
      <w:r w:rsidR="00D70CDC" w:rsidRPr="00312485">
        <w:rPr>
          <w:rFonts w:eastAsia="Calibri"/>
          <w:bCs/>
          <w:sz w:val="24"/>
          <w:szCs w:val="28"/>
          <w:lang w:val="ro-MD"/>
        </w:rPr>
        <w:t>.</w:t>
      </w:r>
    </w:p>
    <w:p w14:paraId="0D5F11B8" w14:textId="77777777" w:rsidR="00F7628E" w:rsidRDefault="00F7628E" w:rsidP="00D70CDC">
      <w:pPr>
        <w:tabs>
          <w:tab w:val="left" w:pos="993"/>
        </w:tabs>
        <w:ind w:left="720" w:firstLine="0"/>
        <w:jc w:val="right"/>
        <w:rPr>
          <w:rFonts w:eastAsia="Calibri"/>
          <w:b/>
          <w:sz w:val="22"/>
          <w:szCs w:val="24"/>
          <w:lang w:val="ro-MD"/>
        </w:rPr>
      </w:pPr>
    </w:p>
    <w:p w14:paraId="13EE99BE" w14:textId="77777777" w:rsidR="00F7628E" w:rsidRDefault="00F7628E" w:rsidP="00D70CDC">
      <w:pPr>
        <w:tabs>
          <w:tab w:val="left" w:pos="993"/>
        </w:tabs>
        <w:ind w:left="720" w:firstLine="0"/>
        <w:jc w:val="right"/>
        <w:rPr>
          <w:rFonts w:eastAsia="Calibri"/>
          <w:b/>
          <w:sz w:val="22"/>
          <w:szCs w:val="24"/>
          <w:lang w:val="ro-MD"/>
        </w:rPr>
      </w:pPr>
    </w:p>
    <w:p w14:paraId="365643D8" w14:textId="77777777" w:rsidR="00F7628E" w:rsidRDefault="00F7628E" w:rsidP="00D70CDC">
      <w:pPr>
        <w:tabs>
          <w:tab w:val="left" w:pos="993"/>
        </w:tabs>
        <w:ind w:left="720" w:firstLine="0"/>
        <w:jc w:val="right"/>
        <w:rPr>
          <w:rFonts w:eastAsia="Calibri"/>
          <w:b/>
          <w:sz w:val="22"/>
          <w:szCs w:val="24"/>
          <w:lang w:val="ro-MD"/>
        </w:rPr>
      </w:pPr>
    </w:p>
    <w:p w14:paraId="215A0D92" w14:textId="77777777" w:rsidR="00F7628E" w:rsidRDefault="00F7628E" w:rsidP="00D70CDC">
      <w:pPr>
        <w:tabs>
          <w:tab w:val="left" w:pos="993"/>
        </w:tabs>
        <w:ind w:left="720" w:firstLine="0"/>
        <w:jc w:val="right"/>
        <w:rPr>
          <w:rFonts w:eastAsia="Calibri"/>
          <w:b/>
          <w:sz w:val="22"/>
          <w:szCs w:val="24"/>
          <w:lang w:val="ro-MD"/>
        </w:rPr>
      </w:pPr>
    </w:p>
    <w:p w14:paraId="1E6F98F4" w14:textId="77777777" w:rsidR="00F7628E" w:rsidRDefault="00F7628E" w:rsidP="00D70CDC">
      <w:pPr>
        <w:tabs>
          <w:tab w:val="left" w:pos="993"/>
        </w:tabs>
        <w:ind w:left="720" w:firstLine="0"/>
        <w:jc w:val="right"/>
        <w:rPr>
          <w:rFonts w:eastAsia="Calibri"/>
          <w:b/>
          <w:sz w:val="22"/>
          <w:szCs w:val="24"/>
          <w:lang w:val="ro-MD"/>
        </w:rPr>
      </w:pPr>
    </w:p>
    <w:p w14:paraId="1FF73DDD" w14:textId="15EC1F0B" w:rsidR="00D70CDC" w:rsidRPr="00207AFB" w:rsidRDefault="00D70CDC" w:rsidP="00D70CDC">
      <w:pPr>
        <w:tabs>
          <w:tab w:val="left" w:pos="993"/>
        </w:tabs>
        <w:ind w:left="720" w:firstLine="0"/>
        <w:jc w:val="right"/>
        <w:rPr>
          <w:rFonts w:eastAsia="Calibri"/>
          <w:b/>
          <w:sz w:val="14"/>
          <w:szCs w:val="18"/>
          <w:lang w:val="ro-MD"/>
        </w:rPr>
      </w:pPr>
      <w:r w:rsidRPr="00207AFB">
        <w:rPr>
          <w:rFonts w:eastAsia="Calibri"/>
          <w:b/>
          <w:sz w:val="22"/>
          <w:szCs w:val="24"/>
          <w:lang w:val="ro-MD"/>
        </w:rPr>
        <w:lastRenderedPageBreak/>
        <w:t>Tabelul 3.1</w:t>
      </w:r>
      <w:r w:rsidRPr="00207AFB">
        <w:rPr>
          <w:rFonts w:eastAsia="Calibri"/>
          <w:b/>
          <w:sz w:val="14"/>
          <w:szCs w:val="18"/>
          <w:lang w:val="ro-MD"/>
        </w:rPr>
        <w:t xml:space="preserve"> </w:t>
      </w:r>
    </w:p>
    <w:p w14:paraId="6B0CFE5B" w14:textId="77777777" w:rsidR="00D70CDC" w:rsidRPr="00312485" w:rsidRDefault="00D70CDC" w:rsidP="00D70CDC">
      <w:pPr>
        <w:tabs>
          <w:tab w:val="left" w:pos="426"/>
        </w:tabs>
        <w:ind w:left="720" w:firstLine="0"/>
        <w:rPr>
          <w:rFonts w:eastAsia="Calibri"/>
          <w:bCs/>
          <w:sz w:val="24"/>
          <w:szCs w:val="28"/>
          <w:lang w:val="ro-MD"/>
        </w:rPr>
      </w:pPr>
    </w:p>
    <w:p w14:paraId="6C86D64D" w14:textId="77777777" w:rsidR="00D70CDC" w:rsidRPr="00312485" w:rsidRDefault="00D70CDC" w:rsidP="00D70CDC">
      <w:pPr>
        <w:tabs>
          <w:tab w:val="left" w:pos="993"/>
        </w:tabs>
        <w:ind w:left="720" w:firstLine="0"/>
        <w:jc w:val="center"/>
        <w:rPr>
          <w:rFonts w:eastAsia="Calibri"/>
          <w:b/>
          <w:sz w:val="24"/>
          <w:szCs w:val="24"/>
          <w:lang w:val="ro-MD"/>
        </w:rPr>
      </w:pPr>
      <w:r w:rsidRPr="00312485">
        <w:rPr>
          <w:rFonts w:eastAsia="Calibri"/>
          <w:b/>
          <w:sz w:val="24"/>
          <w:szCs w:val="24"/>
          <w:lang w:val="ro-MD"/>
        </w:rPr>
        <w:t>Costurile măsurilor de politică fiscală pe termen mediu</w:t>
      </w:r>
    </w:p>
    <w:p w14:paraId="0BD841E2" w14:textId="77777777" w:rsidR="00D70CDC" w:rsidRPr="00312485" w:rsidRDefault="00D70CDC" w:rsidP="00D70CDC">
      <w:pPr>
        <w:tabs>
          <w:tab w:val="left" w:pos="993"/>
        </w:tabs>
        <w:ind w:left="720" w:firstLine="0"/>
        <w:jc w:val="right"/>
        <w:rPr>
          <w:rFonts w:eastAsia="Calibri"/>
          <w:b/>
          <w:sz w:val="22"/>
          <w:szCs w:val="18"/>
          <w:lang w:val="ro-MD"/>
        </w:rPr>
      </w:pPr>
      <w:r w:rsidRPr="00312485">
        <w:rPr>
          <w:rFonts w:eastAsia="Calibri"/>
          <w:b/>
          <w:color w:val="000000"/>
          <w:sz w:val="16"/>
          <w:szCs w:val="18"/>
          <w:lang w:val="ro-MD" w:eastAsia="ro-RO"/>
        </w:rPr>
        <w:t xml:space="preserve">                     </w:t>
      </w:r>
      <w:r w:rsidRPr="00312485">
        <w:rPr>
          <w:rFonts w:eastAsia="Calibri"/>
          <w:color w:val="000000"/>
          <w:sz w:val="16"/>
          <w:szCs w:val="18"/>
          <w:lang w:val="ro-MD" w:eastAsia="ro-RO"/>
        </w:rPr>
        <w:t>(</w:t>
      </w:r>
      <w:proofErr w:type="spellStart"/>
      <w:r w:rsidRPr="00312485">
        <w:rPr>
          <w:rFonts w:eastAsia="Calibri"/>
          <w:color w:val="000000"/>
          <w:sz w:val="16"/>
          <w:szCs w:val="18"/>
          <w:lang w:val="ro-MD" w:eastAsia="ro-RO"/>
        </w:rPr>
        <w:t>mln</w:t>
      </w:r>
      <w:proofErr w:type="spellEnd"/>
      <w:r w:rsidRPr="00312485">
        <w:rPr>
          <w:rFonts w:eastAsia="Calibri"/>
          <w:color w:val="000000"/>
          <w:sz w:val="16"/>
          <w:szCs w:val="18"/>
          <w:lang w:val="ro-MD" w:eastAsia="ro-RO"/>
        </w:rPr>
        <w:t xml:space="preserve"> lei)</w:t>
      </w:r>
    </w:p>
    <w:tbl>
      <w:tblPr>
        <w:tblW w:w="9362" w:type="dxa"/>
        <w:tblLook w:val="04A0" w:firstRow="1" w:lastRow="0" w:firstColumn="1" w:lastColumn="0" w:noHBand="0" w:noVBand="1"/>
      </w:tblPr>
      <w:tblGrid>
        <w:gridCol w:w="2258"/>
        <w:gridCol w:w="856"/>
        <w:gridCol w:w="856"/>
        <w:gridCol w:w="856"/>
        <w:gridCol w:w="576"/>
        <w:gridCol w:w="696"/>
        <w:gridCol w:w="696"/>
        <w:gridCol w:w="856"/>
        <w:gridCol w:w="856"/>
        <w:gridCol w:w="856"/>
      </w:tblGrid>
      <w:tr w:rsidR="00D70CDC" w:rsidRPr="00312485" w14:paraId="0E02B6F4" w14:textId="77777777" w:rsidTr="002F2782">
        <w:trPr>
          <w:trHeight w:val="311"/>
          <w:tblHeader/>
        </w:trPr>
        <w:tc>
          <w:tcPr>
            <w:tcW w:w="2258" w:type="dxa"/>
            <w:vMerge w:val="restart"/>
            <w:tcBorders>
              <w:top w:val="single" w:sz="8" w:space="0" w:color="auto"/>
              <w:left w:val="single" w:sz="8" w:space="0" w:color="auto"/>
              <w:right w:val="nil"/>
            </w:tcBorders>
            <w:shd w:val="clear" w:color="auto" w:fill="auto"/>
            <w:noWrap/>
            <w:vAlign w:val="bottom"/>
            <w:hideMark/>
          </w:tcPr>
          <w:p w14:paraId="026442F6" w14:textId="77777777" w:rsidR="00D70CDC" w:rsidRPr="00312485" w:rsidRDefault="00D70CDC" w:rsidP="00320BF9">
            <w:pPr>
              <w:spacing w:after="160"/>
              <w:ind w:firstLine="0"/>
              <w:jc w:val="left"/>
              <w:rPr>
                <w:rFonts w:ascii="Calibri" w:hAnsi="Calibri" w:cs="Calibri"/>
                <w:color w:val="000000"/>
                <w:sz w:val="22"/>
                <w:szCs w:val="22"/>
                <w:lang w:val="ro-MD"/>
              </w:rPr>
            </w:pPr>
            <w:r w:rsidRPr="00312485">
              <w:rPr>
                <w:rFonts w:ascii="Calibri" w:hAnsi="Calibri" w:cs="Calibri"/>
                <w:color w:val="000000"/>
                <w:sz w:val="22"/>
                <w:szCs w:val="22"/>
                <w:lang w:val="ro-MD"/>
              </w:rPr>
              <w:t> </w:t>
            </w:r>
          </w:p>
          <w:p w14:paraId="5B699242" w14:textId="77777777" w:rsidR="00D70CDC" w:rsidRPr="00312485" w:rsidRDefault="00D70CDC" w:rsidP="00320BF9">
            <w:pPr>
              <w:ind w:firstLine="0"/>
              <w:jc w:val="left"/>
              <w:rPr>
                <w:rFonts w:ascii="Calibri" w:hAnsi="Calibri" w:cs="Calibri"/>
                <w:color w:val="000000"/>
                <w:sz w:val="22"/>
                <w:szCs w:val="22"/>
                <w:lang w:val="ro-MD"/>
              </w:rPr>
            </w:pPr>
            <w:r w:rsidRPr="00312485">
              <w:rPr>
                <w:rFonts w:ascii="Calibri" w:hAnsi="Calibri" w:cs="Calibri"/>
                <w:color w:val="000000"/>
                <w:sz w:val="22"/>
                <w:szCs w:val="22"/>
                <w:lang w:val="ro-MD"/>
              </w:rPr>
              <w:t> </w:t>
            </w:r>
          </w:p>
        </w:tc>
        <w:tc>
          <w:tcPr>
            <w:tcW w:w="2568"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C1CE556" w14:textId="09D1CF07" w:rsidR="00D70CDC" w:rsidRPr="00312485" w:rsidRDefault="00D70CDC" w:rsidP="00320BF9">
            <w:pPr>
              <w:ind w:firstLine="0"/>
              <w:jc w:val="center"/>
              <w:rPr>
                <w:b/>
                <w:color w:val="000000"/>
                <w:sz w:val="16"/>
                <w:szCs w:val="16"/>
                <w:lang w:val="ro-MD"/>
              </w:rPr>
            </w:pPr>
            <w:r w:rsidRPr="00312485">
              <w:rPr>
                <w:b/>
                <w:color w:val="000000"/>
                <w:sz w:val="16"/>
                <w:szCs w:val="16"/>
                <w:lang w:val="ro-MD"/>
              </w:rPr>
              <w:t xml:space="preserve">Estimări ale veniturilor </w:t>
            </w:r>
            <w:r w:rsidR="00096F79" w:rsidRPr="00312485">
              <w:rPr>
                <w:b/>
                <w:color w:val="000000"/>
                <w:sz w:val="16"/>
                <w:szCs w:val="16"/>
                <w:lang w:val="ro-MD"/>
              </w:rPr>
              <w:t xml:space="preserve">BPN </w:t>
            </w:r>
            <w:r w:rsidRPr="00312485">
              <w:rPr>
                <w:b/>
                <w:color w:val="000000"/>
                <w:sz w:val="16"/>
                <w:szCs w:val="16"/>
                <w:lang w:val="ro-MD"/>
              </w:rPr>
              <w:t>în condițiile legislației în vigoare</w:t>
            </w:r>
          </w:p>
        </w:tc>
        <w:tc>
          <w:tcPr>
            <w:tcW w:w="1968"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B9712A5" w14:textId="3BB170AE" w:rsidR="00D70CDC" w:rsidRPr="00312485" w:rsidRDefault="0026380B" w:rsidP="00096F79">
            <w:pPr>
              <w:ind w:left="-123" w:right="-111" w:firstLine="0"/>
              <w:jc w:val="center"/>
              <w:rPr>
                <w:b/>
                <w:color w:val="000000"/>
                <w:sz w:val="16"/>
                <w:szCs w:val="16"/>
                <w:lang w:val="ro-MD"/>
              </w:rPr>
            </w:pPr>
            <w:r w:rsidRPr="00312485">
              <w:rPr>
                <w:b/>
                <w:color w:val="000000"/>
                <w:sz w:val="16"/>
                <w:szCs w:val="16"/>
                <w:lang w:val="ro-MD"/>
              </w:rPr>
              <w:t>Costul propunerilor</w:t>
            </w:r>
            <w:r w:rsidR="00495881" w:rsidRPr="00312485">
              <w:rPr>
                <w:b/>
                <w:color w:val="000000"/>
                <w:sz w:val="16"/>
                <w:szCs w:val="16"/>
                <w:lang w:val="ro-MD"/>
              </w:rPr>
              <w:t xml:space="preserve"> </w:t>
            </w:r>
            <w:r w:rsidR="00D70CDC" w:rsidRPr="00312485">
              <w:rPr>
                <w:b/>
                <w:color w:val="000000"/>
                <w:sz w:val="16"/>
                <w:szCs w:val="16"/>
                <w:lang w:val="ro-MD"/>
              </w:rPr>
              <w:t>măsuri</w:t>
            </w:r>
            <w:r w:rsidR="00495881" w:rsidRPr="00312485">
              <w:rPr>
                <w:b/>
                <w:color w:val="000000"/>
                <w:sz w:val="16"/>
                <w:szCs w:val="16"/>
                <w:lang w:val="ro-MD"/>
              </w:rPr>
              <w:t>lor</w:t>
            </w:r>
            <w:r w:rsidR="00D70CDC" w:rsidRPr="00312485">
              <w:rPr>
                <w:b/>
                <w:color w:val="000000"/>
                <w:sz w:val="16"/>
                <w:szCs w:val="16"/>
                <w:lang w:val="ro-MD"/>
              </w:rPr>
              <w:t xml:space="preserve"> de politică fiscală </w:t>
            </w:r>
          </w:p>
        </w:tc>
        <w:tc>
          <w:tcPr>
            <w:tcW w:w="2568" w:type="dxa"/>
            <w:gridSpan w:val="3"/>
            <w:tcBorders>
              <w:top w:val="single" w:sz="8" w:space="0" w:color="auto"/>
              <w:left w:val="nil"/>
              <w:bottom w:val="single" w:sz="4" w:space="0" w:color="auto"/>
              <w:right w:val="single" w:sz="8" w:space="0" w:color="000000"/>
            </w:tcBorders>
            <w:shd w:val="clear" w:color="auto" w:fill="auto"/>
            <w:vAlign w:val="center"/>
            <w:hideMark/>
          </w:tcPr>
          <w:p w14:paraId="6DB32E43"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Estimarea veniturilor BPN</w:t>
            </w:r>
          </w:p>
        </w:tc>
      </w:tr>
      <w:tr w:rsidR="00D70CDC" w:rsidRPr="00312485" w14:paraId="0935D8C9" w14:textId="77777777" w:rsidTr="002F2782">
        <w:trPr>
          <w:trHeight w:val="148"/>
          <w:tblHeader/>
        </w:trPr>
        <w:tc>
          <w:tcPr>
            <w:tcW w:w="2258" w:type="dxa"/>
            <w:vMerge/>
            <w:tcBorders>
              <w:left w:val="single" w:sz="8" w:space="0" w:color="auto"/>
              <w:bottom w:val="single" w:sz="4" w:space="0" w:color="auto"/>
              <w:right w:val="nil"/>
            </w:tcBorders>
            <w:shd w:val="clear" w:color="auto" w:fill="auto"/>
            <w:noWrap/>
            <w:vAlign w:val="bottom"/>
            <w:hideMark/>
          </w:tcPr>
          <w:p w14:paraId="193176CD" w14:textId="77777777" w:rsidR="00D70CDC" w:rsidRPr="00312485" w:rsidRDefault="00D70CDC" w:rsidP="00320BF9">
            <w:pPr>
              <w:ind w:firstLine="0"/>
              <w:jc w:val="left"/>
              <w:rPr>
                <w:rFonts w:ascii="Calibri" w:hAnsi="Calibri" w:cs="Calibri"/>
                <w:color w:val="000000"/>
                <w:sz w:val="22"/>
                <w:szCs w:val="22"/>
                <w:lang w:val="ro-MD"/>
              </w:rPr>
            </w:pPr>
          </w:p>
        </w:tc>
        <w:tc>
          <w:tcPr>
            <w:tcW w:w="856" w:type="dxa"/>
            <w:tcBorders>
              <w:top w:val="nil"/>
              <w:left w:val="single" w:sz="8" w:space="0" w:color="auto"/>
              <w:bottom w:val="single" w:sz="4" w:space="0" w:color="auto"/>
              <w:right w:val="single" w:sz="4" w:space="0" w:color="auto"/>
            </w:tcBorders>
            <w:shd w:val="clear" w:color="auto" w:fill="auto"/>
            <w:noWrap/>
            <w:vAlign w:val="center"/>
            <w:hideMark/>
          </w:tcPr>
          <w:p w14:paraId="19A746E1"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2026</w:t>
            </w:r>
          </w:p>
        </w:tc>
        <w:tc>
          <w:tcPr>
            <w:tcW w:w="856" w:type="dxa"/>
            <w:tcBorders>
              <w:top w:val="nil"/>
              <w:left w:val="nil"/>
              <w:bottom w:val="single" w:sz="4" w:space="0" w:color="auto"/>
              <w:right w:val="single" w:sz="4" w:space="0" w:color="auto"/>
            </w:tcBorders>
            <w:shd w:val="clear" w:color="auto" w:fill="auto"/>
            <w:noWrap/>
            <w:vAlign w:val="center"/>
            <w:hideMark/>
          </w:tcPr>
          <w:p w14:paraId="4156E640"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2027</w:t>
            </w:r>
          </w:p>
        </w:tc>
        <w:tc>
          <w:tcPr>
            <w:tcW w:w="856" w:type="dxa"/>
            <w:tcBorders>
              <w:top w:val="nil"/>
              <w:left w:val="nil"/>
              <w:bottom w:val="single" w:sz="4" w:space="0" w:color="auto"/>
              <w:right w:val="single" w:sz="8" w:space="0" w:color="auto"/>
            </w:tcBorders>
            <w:shd w:val="clear" w:color="auto" w:fill="auto"/>
            <w:noWrap/>
            <w:vAlign w:val="center"/>
            <w:hideMark/>
          </w:tcPr>
          <w:p w14:paraId="3DCC0E26"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2028</w:t>
            </w:r>
          </w:p>
        </w:tc>
        <w:tc>
          <w:tcPr>
            <w:tcW w:w="576" w:type="dxa"/>
            <w:tcBorders>
              <w:top w:val="nil"/>
              <w:left w:val="nil"/>
              <w:bottom w:val="single" w:sz="4" w:space="0" w:color="auto"/>
              <w:right w:val="single" w:sz="4" w:space="0" w:color="auto"/>
            </w:tcBorders>
            <w:shd w:val="clear" w:color="auto" w:fill="auto"/>
            <w:noWrap/>
            <w:vAlign w:val="center"/>
            <w:hideMark/>
          </w:tcPr>
          <w:p w14:paraId="5847AD08"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2026</w:t>
            </w:r>
          </w:p>
        </w:tc>
        <w:tc>
          <w:tcPr>
            <w:tcW w:w="696" w:type="dxa"/>
            <w:tcBorders>
              <w:top w:val="nil"/>
              <w:left w:val="nil"/>
              <w:bottom w:val="single" w:sz="4" w:space="0" w:color="auto"/>
              <w:right w:val="single" w:sz="4" w:space="0" w:color="auto"/>
            </w:tcBorders>
            <w:shd w:val="clear" w:color="auto" w:fill="auto"/>
            <w:noWrap/>
            <w:vAlign w:val="center"/>
            <w:hideMark/>
          </w:tcPr>
          <w:p w14:paraId="50C5F4F4"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2027</w:t>
            </w:r>
          </w:p>
        </w:tc>
        <w:tc>
          <w:tcPr>
            <w:tcW w:w="696" w:type="dxa"/>
            <w:tcBorders>
              <w:top w:val="nil"/>
              <w:left w:val="nil"/>
              <w:bottom w:val="single" w:sz="4" w:space="0" w:color="auto"/>
              <w:right w:val="single" w:sz="8" w:space="0" w:color="auto"/>
            </w:tcBorders>
            <w:shd w:val="clear" w:color="auto" w:fill="auto"/>
            <w:noWrap/>
            <w:vAlign w:val="center"/>
            <w:hideMark/>
          </w:tcPr>
          <w:p w14:paraId="555327CE"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2028</w:t>
            </w:r>
          </w:p>
        </w:tc>
        <w:tc>
          <w:tcPr>
            <w:tcW w:w="856" w:type="dxa"/>
            <w:tcBorders>
              <w:top w:val="nil"/>
              <w:left w:val="nil"/>
              <w:bottom w:val="single" w:sz="4" w:space="0" w:color="auto"/>
              <w:right w:val="single" w:sz="4" w:space="0" w:color="auto"/>
            </w:tcBorders>
            <w:shd w:val="clear" w:color="auto" w:fill="auto"/>
            <w:noWrap/>
            <w:vAlign w:val="center"/>
            <w:hideMark/>
          </w:tcPr>
          <w:p w14:paraId="722AEAA4"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2026</w:t>
            </w:r>
          </w:p>
        </w:tc>
        <w:tc>
          <w:tcPr>
            <w:tcW w:w="856" w:type="dxa"/>
            <w:tcBorders>
              <w:top w:val="nil"/>
              <w:left w:val="nil"/>
              <w:bottom w:val="single" w:sz="4" w:space="0" w:color="auto"/>
              <w:right w:val="single" w:sz="4" w:space="0" w:color="auto"/>
            </w:tcBorders>
            <w:shd w:val="clear" w:color="auto" w:fill="auto"/>
            <w:noWrap/>
            <w:vAlign w:val="center"/>
            <w:hideMark/>
          </w:tcPr>
          <w:p w14:paraId="7378897D"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2027</w:t>
            </w:r>
          </w:p>
        </w:tc>
        <w:tc>
          <w:tcPr>
            <w:tcW w:w="856" w:type="dxa"/>
            <w:tcBorders>
              <w:top w:val="nil"/>
              <w:left w:val="nil"/>
              <w:bottom w:val="single" w:sz="4" w:space="0" w:color="auto"/>
              <w:right w:val="single" w:sz="8" w:space="0" w:color="auto"/>
            </w:tcBorders>
            <w:shd w:val="clear" w:color="auto" w:fill="auto"/>
            <w:noWrap/>
            <w:vAlign w:val="center"/>
            <w:hideMark/>
          </w:tcPr>
          <w:p w14:paraId="723F809C" w14:textId="77777777" w:rsidR="00D70CDC" w:rsidRPr="00312485" w:rsidRDefault="00D70CDC" w:rsidP="00320BF9">
            <w:pPr>
              <w:ind w:firstLine="0"/>
              <w:jc w:val="center"/>
              <w:rPr>
                <w:b/>
                <w:color w:val="000000"/>
                <w:sz w:val="16"/>
                <w:szCs w:val="16"/>
                <w:lang w:val="ro-MD"/>
              </w:rPr>
            </w:pPr>
            <w:r w:rsidRPr="00312485">
              <w:rPr>
                <w:b/>
                <w:color w:val="000000"/>
                <w:sz w:val="16"/>
                <w:szCs w:val="16"/>
                <w:lang w:val="ro-MD"/>
              </w:rPr>
              <w:t>2028</w:t>
            </w:r>
          </w:p>
        </w:tc>
      </w:tr>
      <w:tr w:rsidR="00553E10" w:rsidRPr="00312485" w14:paraId="058B8759"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71CA5116" w14:textId="77777777" w:rsidR="00553E10" w:rsidRPr="00312485" w:rsidRDefault="00553E10" w:rsidP="00553E10">
            <w:pPr>
              <w:ind w:firstLine="0"/>
              <w:jc w:val="left"/>
              <w:rPr>
                <w:b/>
                <w:bCs/>
                <w:color w:val="000000"/>
                <w:sz w:val="16"/>
                <w:szCs w:val="16"/>
                <w:lang w:val="ro-MD"/>
              </w:rPr>
            </w:pPr>
            <w:r w:rsidRPr="00312485">
              <w:rPr>
                <w:b/>
                <w:bCs/>
                <w:color w:val="000000"/>
                <w:sz w:val="16"/>
                <w:szCs w:val="16"/>
                <w:lang w:val="ro-MD"/>
              </w:rPr>
              <w:t>I. VENITURI</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7995B06D" w14:textId="48B4B889" w:rsidR="00553E10" w:rsidRPr="00312485" w:rsidRDefault="00553E10" w:rsidP="007B3527">
            <w:pPr>
              <w:ind w:firstLine="0"/>
              <w:jc w:val="center"/>
              <w:rPr>
                <w:b/>
                <w:bCs/>
                <w:sz w:val="16"/>
                <w:szCs w:val="16"/>
                <w:lang w:val="ro-MD"/>
              </w:rPr>
            </w:pPr>
            <w:r w:rsidRPr="00312485">
              <w:rPr>
                <w:b/>
                <w:bCs/>
                <w:sz w:val="16"/>
                <w:szCs w:val="16"/>
                <w:lang w:val="ro-MD"/>
              </w:rPr>
              <w:t>130</w:t>
            </w:r>
            <w:r w:rsidR="007B3527" w:rsidRPr="00312485">
              <w:rPr>
                <w:b/>
                <w:bCs/>
                <w:sz w:val="16"/>
                <w:szCs w:val="16"/>
                <w:lang w:val="ro-MD"/>
              </w:rPr>
              <w:t xml:space="preserve"> </w:t>
            </w:r>
            <w:r w:rsidRPr="00312485">
              <w:rPr>
                <w:b/>
                <w:bCs/>
                <w:sz w:val="16"/>
                <w:szCs w:val="16"/>
                <w:lang w:val="ro-MD"/>
              </w:rPr>
              <w:t>961,5</w:t>
            </w:r>
          </w:p>
        </w:tc>
        <w:tc>
          <w:tcPr>
            <w:tcW w:w="856" w:type="dxa"/>
            <w:tcBorders>
              <w:top w:val="nil"/>
              <w:left w:val="nil"/>
              <w:bottom w:val="single" w:sz="4" w:space="0" w:color="auto"/>
              <w:right w:val="single" w:sz="4" w:space="0" w:color="auto"/>
            </w:tcBorders>
            <w:shd w:val="clear" w:color="000000" w:fill="FFFFFF"/>
            <w:noWrap/>
            <w:vAlign w:val="center"/>
            <w:hideMark/>
          </w:tcPr>
          <w:p w14:paraId="7E9E341D" w14:textId="64389A07" w:rsidR="00553E10" w:rsidRPr="00312485" w:rsidRDefault="00553E10" w:rsidP="007B3527">
            <w:pPr>
              <w:ind w:firstLine="0"/>
              <w:jc w:val="center"/>
              <w:rPr>
                <w:b/>
                <w:bCs/>
                <w:sz w:val="16"/>
                <w:szCs w:val="16"/>
                <w:lang w:val="ro-MD"/>
              </w:rPr>
            </w:pPr>
            <w:r w:rsidRPr="00312485">
              <w:rPr>
                <w:b/>
                <w:bCs/>
                <w:sz w:val="16"/>
                <w:szCs w:val="16"/>
                <w:lang w:val="ro-MD"/>
              </w:rPr>
              <w:t>142</w:t>
            </w:r>
            <w:r w:rsidR="007B3527" w:rsidRPr="00312485">
              <w:rPr>
                <w:b/>
                <w:bCs/>
                <w:sz w:val="16"/>
                <w:szCs w:val="16"/>
                <w:lang w:val="ro-MD"/>
              </w:rPr>
              <w:t xml:space="preserve"> </w:t>
            </w:r>
            <w:r w:rsidRPr="00312485">
              <w:rPr>
                <w:b/>
                <w:bCs/>
                <w:sz w:val="16"/>
                <w:szCs w:val="16"/>
                <w:lang w:val="ro-MD"/>
              </w:rPr>
              <w:t>369,5</w:t>
            </w:r>
          </w:p>
        </w:tc>
        <w:tc>
          <w:tcPr>
            <w:tcW w:w="856" w:type="dxa"/>
            <w:tcBorders>
              <w:top w:val="nil"/>
              <w:left w:val="nil"/>
              <w:bottom w:val="single" w:sz="4" w:space="0" w:color="auto"/>
              <w:right w:val="single" w:sz="8" w:space="0" w:color="auto"/>
            </w:tcBorders>
            <w:shd w:val="clear" w:color="000000" w:fill="FFFFFF"/>
            <w:noWrap/>
            <w:vAlign w:val="center"/>
            <w:hideMark/>
          </w:tcPr>
          <w:p w14:paraId="164239BE" w14:textId="6BC95924" w:rsidR="00553E10" w:rsidRPr="00312485" w:rsidRDefault="00553E10" w:rsidP="007B3527">
            <w:pPr>
              <w:ind w:firstLine="0"/>
              <w:jc w:val="center"/>
              <w:rPr>
                <w:b/>
                <w:bCs/>
                <w:sz w:val="16"/>
                <w:szCs w:val="16"/>
                <w:lang w:val="ro-MD"/>
              </w:rPr>
            </w:pPr>
            <w:r w:rsidRPr="00312485">
              <w:rPr>
                <w:b/>
                <w:bCs/>
                <w:sz w:val="16"/>
                <w:szCs w:val="16"/>
                <w:lang w:val="ro-MD"/>
              </w:rPr>
              <w:t>154</w:t>
            </w:r>
            <w:r w:rsidR="007B3527" w:rsidRPr="00312485">
              <w:rPr>
                <w:b/>
                <w:bCs/>
                <w:sz w:val="16"/>
                <w:szCs w:val="16"/>
                <w:lang w:val="ro-MD"/>
              </w:rPr>
              <w:t xml:space="preserve"> </w:t>
            </w:r>
            <w:r w:rsidRPr="00312485">
              <w:rPr>
                <w:b/>
                <w:bCs/>
                <w:sz w:val="16"/>
                <w:szCs w:val="16"/>
                <w:lang w:val="ro-MD"/>
              </w:rPr>
              <w:t>710,4</w:t>
            </w:r>
          </w:p>
        </w:tc>
        <w:tc>
          <w:tcPr>
            <w:tcW w:w="576" w:type="dxa"/>
            <w:tcBorders>
              <w:top w:val="nil"/>
              <w:left w:val="nil"/>
              <w:bottom w:val="single" w:sz="4" w:space="0" w:color="auto"/>
              <w:right w:val="single" w:sz="4" w:space="0" w:color="auto"/>
            </w:tcBorders>
            <w:shd w:val="clear" w:color="000000" w:fill="FFFFFF"/>
            <w:noWrap/>
            <w:vAlign w:val="center"/>
            <w:hideMark/>
          </w:tcPr>
          <w:p w14:paraId="05ADF595" w14:textId="3F07644B" w:rsidR="00553E10" w:rsidRPr="00312485" w:rsidRDefault="00553E10" w:rsidP="00553E10">
            <w:pPr>
              <w:ind w:firstLine="0"/>
              <w:jc w:val="center"/>
              <w:rPr>
                <w:b/>
                <w:bCs/>
                <w:sz w:val="16"/>
                <w:szCs w:val="16"/>
                <w:lang w:val="ro-MD"/>
              </w:rPr>
            </w:pPr>
            <w:r w:rsidRPr="00312485">
              <w:rPr>
                <w:b/>
                <w:bCs/>
                <w:sz w:val="16"/>
                <w:szCs w:val="16"/>
                <w:lang w:val="ro-MD"/>
              </w:rPr>
              <w:t>942,8</w:t>
            </w:r>
          </w:p>
        </w:tc>
        <w:tc>
          <w:tcPr>
            <w:tcW w:w="696" w:type="dxa"/>
            <w:tcBorders>
              <w:top w:val="nil"/>
              <w:left w:val="nil"/>
              <w:bottom w:val="single" w:sz="4" w:space="0" w:color="auto"/>
              <w:right w:val="single" w:sz="4" w:space="0" w:color="auto"/>
            </w:tcBorders>
            <w:shd w:val="clear" w:color="000000" w:fill="FFFFFF"/>
            <w:noWrap/>
            <w:vAlign w:val="center"/>
            <w:hideMark/>
          </w:tcPr>
          <w:p w14:paraId="7DB31A82" w14:textId="4DEA476F" w:rsidR="00553E10" w:rsidRPr="00312485" w:rsidRDefault="00553E10" w:rsidP="007B3527">
            <w:pPr>
              <w:ind w:firstLine="0"/>
              <w:jc w:val="center"/>
              <w:rPr>
                <w:b/>
                <w:bCs/>
                <w:sz w:val="16"/>
                <w:szCs w:val="16"/>
                <w:lang w:val="ro-MD"/>
              </w:rPr>
            </w:pPr>
            <w:r w:rsidRPr="00312485">
              <w:rPr>
                <w:b/>
                <w:bCs/>
                <w:sz w:val="16"/>
                <w:szCs w:val="16"/>
                <w:lang w:val="ro-MD"/>
              </w:rPr>
              <w:t>1</w:t>
            </w:r>
            <w:r w:rsidR="007B3527" w:rsidRPr="00312485">
              <w:rPr>
                <w:b/>
                <w:bCs/>
                <w:sz w:val="16"/>
                <w:szCs w:val="16"/>
                <w:lang w:val="ro-MD"/>
              </w:rPr>
              <w:t xml:space="preserve"> </w:t>
            </w:r>
            <w:r w:rsidRPr="00312485">
              <w:rPr>
                <w:b/>
                <w:bCs/>
                <w:sz w:val="16"/>
                <w:szCs w:val="16"/>
                <w:lang w:val="ro-MD"/>
              </w:rPr>
              <w:t>024,3</w:t>
            </w:r>
          </w:p>
        </w:tc>
        <w:tc>
          <w:tcPr>
            <w:tcW w:w="696" w:type="dxa"/>
            <w:tcBorders>
              <w:top w:val="nil"/>
              <w:left w:val="nil"/>
              <w:bottom w:val="single" w:sz="4" w:space="0" w:color="auto"/>
              <w:right w:val="single" w:sz="8" w:space="0" w:color="auto"/>
            </w:tcBorders>
            <w:shd w:val="clear" w:color="000000" w:fill="FFFFFF"/>
            <w:noWrap/>
            <w:vAlign w:val="center"/>
            <w:hideMark/>
          </w:tcPr>
          <w:p w14:paraId="5B0CF512" w14:textId="60443640" w:rsidR="00553E10" w:rsidRPr="00312485" w:rsidRDefault="00553E10" w:rsidP="007B3527">
            <w:pPr>
              <w:ind w:firstLine="0"/>
              <w:jc w:val="center"/>
              <w:rPr>
                <w:b/>
                <w:bCs/>
                <w:sz w:val="16"/>
                <w:szCs w:val="16"/>
                <w:lang w:val="ro-MD"/>
              </w:rPr>
            </w:pPr>
            <w:r w:rsidRPr="00312485">
              <w:rPr>
                <w:b/>
                <w:bCs/>
                <w:sz w:val="16"/>
                <w:szCs w:val="16"/>
                <w:lang w:val="ro-MD"/>
              </w:rPr>
              <w:t>1</w:t>
            </w:r>
            <w:r w:rsidR="007B3527" w:rsidRPr="00312485">
              <w:rPr>
                <w:b/>
                <w:bCs/>
                <w:sz w:val="16"/>
                <w:szCs w:val="16"/>
                <w:lang w:val="ro-MD"/>
              </w:rPr>
              <w:t xml:space="preserve"> </w:t>
            </w:r>
            <w:r w:rsidRPr="00312485">
              <w:rPr>
                <w:b/>
                <w:bCs/>
                <w:sz w:val="16"/>
                <w:szCs w:val="16"/>
                <w:lang w:val="ro-MD"/>
              </w:rPr>
              <w:t>095,4</w:t>
            </w:r>
          </w:p>
        </w:tc>
        <w:tc>
          <w:tcPr>
            <w:tcW w:w="856" w:type="dxa"/>
            <w:tcBorders>
              <w:top w:val="nil"/>
              <w:left w:val="nil"/>
              <w:bottom w:val="single" w:sz="4" w:space="0" w:color="auto"/>
              <w:right w:val="single" w:sz="4" w:space="0" w:color="auto"/>
            </w:tcBorders>
            <w:shd w:val="clear" w:color="auto" w:fill="auto"/>
            <w:noWrap/>
            <w:vAlign w:val="center"/>
            <w:hideMark/>
          </w:tcPr>
          <w:p w14:paraId="1B229985" w14:textId="20C46B80" w:rsidR="00553E10" w:rsidRPr="00312485" w:rsidRDefault="00553E10" w:rsidP="007B3527">
            <w:pPr>
              <w:ind w:firstLine="0"/>
              <w:jc w:val="center"/>
              <w:rPr>
                <w:b/>
                <w:bCs/>
                <w:color w:val="000000"/>
                <w:sz w:val="16"/>
                <w:szCs w:val="16"/>
                <w:lang w:val="ro-MD"/>
              </w:rPr>
            </w:pPr>
            <w:r w:rsidRPr="00312485">
              <w:rPr>
                <w:b/>
                <w:bCs/>
                <w:color w:val="000000"/>
                <w:sz w:val="16"/>
                <w:szCs w:val="16"/>
                <w:lang w:val="ro-MD"/>
              </w:rPr>
              <w:t>131</w:t>
            </w:r>
            <w:r w:rsidR="007B3527" w:rsidRPr="00312485">
              <w:rPr>
                <w:b/>
                <w:bCs/>
                <w:color w:val="000000"/>
                <w:sz w:val="16"/>
                <w:szCs w:val="16"/>
                <w:lang w:val="ro-MD"/>
              </w:rPr>
              <w:t xml:space="preserve"> </w:t>
            </w:r>
            <w:r w:rsidRPr="00312485">
              <w:rPr>
                <w:b/>
                <w:bCs/>
                <w:color w:val="000000"/>
                <w:sz w:val="16"/>
                <w:szCs w:val="16"/>
                <w:lang w:val="ro-MD"/>
              </w:rPr>
              <w:t>904,3</w:t>
            </w:r>
          </w:p>
        </w:tc>
        <w:tc>
          <w:tcPr>
            <w:tcW w:w="856" w:type="dxa"/>
            <w:tcBorders>
              <w:top w:val="nil"/>
              <w:left w:val="nil"/>
              <w:bottom w:val="single" w:sz="4" w:space="0" w:color="auto"/>
              <w:right w:val="single" w:sz="4" w:space="0" w:color="auto"/>
            </w:tcBorders>
            <w:shd w:val="clear" w:color="auto" w:fill="auto"/>
            <w:noWrap/>
            <w:vAlign w:val="center"/>
            <w:hideMark/>
          </w:tcPr>
          <w:p w14:paraId="19683EF6" w14:textId="072DF1D3" w:rsidR="00553E10" w:rsidRPr="00312485" w:rsidRDefault="00553E10" w:rsidP="007B3527">
            <w:pPr>
              <w:ind w:firstLine="0"/>
              <w:jc w:val="center"/>
              <w:rPr>
                <w:b/>
                <w:bCs/>
                <w:color w:val="000000"/>
                <w:sz w:val="16"/>
                <w:szCs w:val="16"/>
                <w:lang w:val="ro-MD"/>
              </w:rPr>
            </w:pPr>
            <w:r w:rsidRPr="00312485">
              <w:rPr>
                <w:b/>
                <w:bCs/>
                <w:color w:val="000000"/>
                <w:sz w:val="16"/>
                <w:szCs w:val="16"/>
                <w:lang w:val="ro-MD"/>
              </w:rPr>
              <w:t>143</w:t>
            </w:r>
            <w:r w:rsidR="007B3527" w:rsidRPr="00312485">
              <w:rPr>
                <w:b/>
                <w:bCs/>
                <w:color w:val="000000"/>
                <w:sz w:val="16"/>
                <w:szCs w:val="16"/>
                <w:lang w:val="ro-MD"/>
              </w:rPr>
              <w:t xml:space="preserve"> </w:t>
            </w:r>
            <w:r w:rsidRPr="00312485">
              <w:rPr>
                <w:b/>
                <w:bCs/>
                <w:color w:val="000000"/>
                <w:sz w:val="16"/>
                <w:szCs w:val="16"/>
                <w:lang w:val="ro-MD"/>
              </w:rPr>
              <w:t>393,8</w:t>
            </w:r>
          </w:p>
        </w:tc>
        <w:tc>
          <w:tcPr>
            <w:tcW w:w="856" w:type="dxa"/>
            <w:tcBorders>
              <w:top w:val="nil"/>
              <w:left w:val="nil"/>
              <w:bottom w:val="single" w:sz="4" w:space="0" w:color="auto"/>
              <w:right w:val="single" w:sz="8" w:space="0" w:color="auto"/>
            </w:tcBorders>
            <w:shd w:val="clear" w:color="auto" w:fill="auto"/>
            <w:noWrap/>
            <w:vAlign w:val="center"/>
            <w:hideMark/>
          </w:tcPr>
          <w:p w14:paraId="4F442D52" w14:textId="7485EA3A" w:rsidR="00553E10" w:rsidRPr="00312485" w:rsidRDefault="00553E10" w:rsidP="007B3527">
            <w:pPr>
              <w:ind w:firstLine="0"/>
              <w:jc w:val="center"/>
              <w:rPr>
                <w:b/>
                <w:bCs/>
                <w:color w:val="000000"/>
                <w:sz w:val="16"/>
                <w:szCs w:val="16"/>
                <w:lang w:val="ro-MD"/>
              </w:rPr>
            </w:pPr>
            <w:r w:rsidRPr="00312485">
              <w:rPr>
                <w:b/>
                <w:bCs/>
                <w:color w:val="000000"/>
                <w:sz w:val="16"/>
                <w:szCs w:val="16"/>
                <w:lang w:val="ro-MD"/>
              </w:rPr>
              <w:t>155</w:t>
            </w:r>
            <w:r w:rsidR="007B3527" w:rsidRPr="00312485">
              <w:rPr>
                <w:b/>
                <w:bCs/>
                <w:color w:val="000000"/>
                <w:sz w:val="16"/>
                <w:szCs w:val="16"/>
                <w:lang w:val="ro-MD"/>
              </w:rPr>
              <w:t xml:space="preserve"> </w:t>
            </w:r>
            <w:r w:rsidRPr="00312485">
              <w:rPr>
                <w:b/>
                <w:bCs/>
                <w:color w:val="000000"/>
                <w:sz w:val="16"/>
                <w:szCs w:val="16"/>
                <w:lang w:val="ro-MD"/>
              </w:rPr>
              <w:t>805,8</w:t>
            </w:r>
          </w:p>
        </w:tc>
      </w:tr>
      <w:tr w:rsidR="00553E10" w:rsidRPr="00312485" w14:paraId="6BD9E022"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54D40BAA"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Impozite și taxe</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65D06AA6" w14:textId="162C46E7" w:rsidR="00553E10" w:rsidRPr="00312485" w:rsidRDefault="00553E10" w:rsidP="007B3527">
            <w:pPr>
              <w:ind w:firstLine="0"/>
              <w:jc w:val="center"/>
              <w:rPr>
                <w:bCs/>
                <w:sz w:val="16"/>
                <w:szCs w:val="16"/>
                <w:lang w:val="ro-MD"/>
              </w:rPr>
            </w:pPr>
            <w:r w:rsidRPr="00312485">
              <w:rPr>
                <w:bCs/>
                <w:sz w:val="16"/>
                <w:szCs w:val="16"/>
                <w:lang w:val="ro-MD"/>
              </w:rPr>
              <w:t>81</w:t>
            </w:r>
            <w:r w:rsidR="007B3527" w:rsidRPr="00312485">
              <w:rPr>
                <w:bCs/>
                <w:sz w:val="16"/>
                <w:szCs w:val="16"/>
                <w:lang w:val="ro-MD"/>
              </w:rPr>
              <w:t xml:space="preserve"> </w:t>
            </w:r>
            <w:r w:rsidRPr="00312485">
              <w:rPr>
                <w:bCs/>
                <w:sz w:val="16"/>
                <w:szCs w:val="16"/>
                <w:lang w:val="ro-MD"/>
              </w:rPr>
              <w:t>485,8</w:t>
            </w:r>
          </w:p>
        </w:tc>
        <w:tc>
          <w:tcPr>
            <w:tcW w:w="856" w:type="dxa"/>
            <w:tcBorders>
              <w:top w:val="nil"/>
              <w:left w:val="nil"/>
              <w:bottom w:val="single" w:sz="4" w:space="0" w:color="auto"/>
              <w:right w:val="single" w:sz="4" w:space="0" w:color="auto"/>
            </w:tcBorders>
            <w:shd w:val="clear" w:color="000000" w:fill="FFFFFF"/>
            <w:noWrap/>
            <w:vAlign w:val="center"/>
            <w:hideMark/>
          </w:tcPr>
          <w:p w14:paraId="07983FBE" w14:textId="5CE8CF6E" w:rsidR="00553E10" w:rsidRPr="00312485" w:rsidRDefault="00553E10" w:rsidP="007B3527">
            <w:pPr>
              <w:ind w:firstLine="0"/>
              <w:jc w:val="center"/>
              <w:rPr>
                <w:bCs/>
                <w:sz w:val="16"/>
                <w:szCs w:val="16"/>
                <w:lang w:val="ro-MD"/>
              </w:rPr>
            </w:pPr>
            <w:r w:rsidRPr="00312485">
              <w:rPr>
                <w:bCs/>
                <w:sz w:val="16"/>
                <w:szCs w:val="16"/>
                <w:lang w:val="ro-MD"/>
              </w:rPr>
              <w:t>88</w:t>
            </w:r>
            <w:r w:rsidR="007B3527" w:rsidRPr="00312485">
              <w:rPr>
                <w:bCs/>
                <w:sz w:val="16"/>
                <w:szCs w:val="16"/>
                <w:lang w:val="ro-MD"/>
              </w:rPr>
              <w:t xml:space="preserve"> </w:t>
            </w:r>
            <w:r w:rsidRPr="00312485">
              <w:rPr>
                <w:bCs/>
                <w:sz w:val="16"/>
                <w:szCs w:val="16"/>
                <w:lang w:val="ro-MD"/>
              </w:rPr>
              <w:t>866,1</w:t>
            </w:r>
          </w:p>
        </w:tc>
        <w:tc>
          <w:tcPr>
            <w:tcW w:w="856" w:type="dxa"/>
            <w:tcBorders>
              <w:top w:val="nil"/>
              <w:left w:val="nil"/>
              <w:bottom w:val="single" w:sz="4" w:space="0" w:color="auto"/>
              <w:right w:val="single" w:sz="8" w:space="0" w:color="auto"/>
            </w:tcBorders>
            <w:shd w:val="clear" w:color="000000" w:fill="FFFFFF"/>
            <w:noWrap/>
            <w:vAlign w:val="center"/>
            <w:hideMark/>
          </w:tcPr>
          <w:p w14:paraId="76D222E7" w14:textId="13F88204" w:rsidR="00553E10" w:rsidRPr="00312485" w:rsidRDefault="00553E10" w:rsidP="007B3527">
            <w:pPr>
              <w:ind w:firstLine="0"/>
              <w:jc w:val="center"/>
              <w:rPr>
                <w:bCs/>
                <w:sz w:val="16"/>
                <w:szCs w:val="16"/>
                <w:lang w:val="ro-MD"/>
              </w:rPr>
            </w:pPr>
            <w:r w:rsidRPr="00312485">
              <w:rPr>
                <w:bCs/>
                <w:sz w:val="16"/>
                <w:szCs w:val="16"/>
                <w:lang w:val="ro-MD"/>
              </w:rPr>
              <w:t>96</w:t>
            </w:r>
            <w:r w:rsidR="007B3527" w:rsidRPr="00312485">
              <w:rPr>
                <w:bCs/>
                <w:sz w:val="16"/>
                <w:szCs w:val="16"/>
                <w:lang w:val="ro-MD"/>
              </w:rPr>
              <w:t xml:space="preserve"> </w:t>
            </w:r>
            <w:r w:rsidRPr="00312485">
              <w:rPr>
                <w:bCs/>
                <w:sz w:val="16"/>
                <w:szCs w:val="16"/>
                <w:lang w:val="ro-MD"/>
              </w:rPr>
              <w:t>905,0</w:t>
            </w:r>
          </w:p>
        </w:tc>
        <w:tc>
          <w:tcPr>
            <w:tcW w:w="576" w:type="dxa"/>
            <w:tcBorders>
              <w:top w:val="nil"/>
              <w:left w:val="nil"/>
              <w:bottom w:val="single" w:sz="4" w:space="0" w:color="auto"/>
              <w:right w:val="single" w:sz="4" w:space="0" w:color="auto"/>
            </w:tcBorders>
            <w:shd w:val="clear" w:color="000000" w:fill="FFFFFF"/>
            <w:noWrap/>
            <w:vAlign w:val="center"/>
            <w:hideMark/>
          </w:tcPr>
          <w:p w14:paraId="7691F1AC" w14:textId="655DBE11" w:rsidR="00553E10" w:rsidRPr="00312485" w:rsidRDefault="00553E10" w:rsidP="00553E10">
            <w:pPr>
              <w:ind w:firstLine="0"/>
              <w:jc w:val="center"/>
              <w:rPr>
                <w:bCs/>
                <w:sz w:val="16"/>
                <w:szCs w:val="16"/>
                <w:lang w:val="ro-MD"/>
              </w:rPr>
            </w:pPr>
            <w:r w:rsidRPr="00312485">
              <w:rPr>
                <w:bCs/>
                <w:sz w:val="16"/>
                <w:szCs w:val="16"/>
                <w:lang w:val="ro-MD"/>
              </w:rPr>
              <w:t>942,8</w:t>
            </w:r>
          </w:p>
        </w:tc>
        <w:tc>
          <w:tcPr>
            <w:tcW w:w="696" w:type="dxa"/>
            <w:tcBorders>
              <w:top w:val="nil"/>
              <w:left w:val="nil"/>
              <w:bottom w:val="single" w:sz="4" w:space="0" w:color="auto"/>
              <w:right w:val="single" w:sz="4" w:space="0" w:color="auto"/>
            </w:tcBorders>
            <w:shd w:val="clear" w:color="000000" w:fill="FFFFFF"/>
            <w:noWrap/>
            <w:vAlign w:val="center"/>
            <w:hideMark/>
          </w:tcPr>
          <w:p w14:paraId="57F15A21" w14:textId="41893B14" w:rsidR="00553E10" w:rsidRPr="00312485" w:rsidRDefault="00553E10" w:rsidP="007B3527">
            <w:pPr>
              <w:ind w:firstLine="0"/>
              <w:jc w:val="center"/>
              <w:rPr>
                <w:bCs/>
                <w:sz w:val="16"/>
                <w:szCs w:val="16"/>
                <w:lang w:val="ro-MD"/>
              </w:rPr>
            </w:pPr>
            <w:r w:rsidRPr="00312485">
              <w:rPr>
                <w:bCs/>
                <w:sz w:val="16"/>
                <w:szCs w:val="16"/>
                <w:lang w:val="ro-MD"/>
              </w:rPr>
              <w:t>1</w:t>
            </w:r>
            <w:r w:rsidR="007B3527" w:rsidRPr="00312485">
              <w:rPr>
                <w:bCs/>
                <w:sz w:val="16"/>
                <w:szCs w:val="16"/>
                <w:lang w:val="ro-MD"/>
              </w:rPr>
              <w:t xml:space="preserve"> </w:t>
            </w:r>
            <w:r w:rsidRPr="00312485">
              <w:rPr>
                <w:bCs/>
                <w:sz w:val="16"/>
                <w:szCs w:val="16"/>
                <w:lang w:val="ro-MD"/>
              </w:rPr>
              <w:t>024,3</w:t>
            </w:r>
          </w:p>
        </w:tc>
        <w:tc>
          <w:tcPr>
            <w:tcW w:w="696" w:type="dxa"/>
            <w:tcBorders>
              <w:top w:val="nil"/>
              <w:left w:val="nil"/>
              <w:bottom w:val="single" w:sz="4" w:space="0" w:color="auto"/>
              <w:right w:val="single" w:sz="8" w:space="0" w:color="auto"/>
            </w:tcBorders>
            <w:shd w:val="clear" w:color="000000" w:fill="FFFFFF"/>
            <w:noWrap/>
            <w:vAlign w:val="center"/>
            <w:hideMark/>
          </w:tcPr>
          <w:p w14:paraId="611B8D90" w14:textId="6EC6F050" w:rsidR="00553E10" w:rsidRPr="00312485" w:rsidRDefault="00553E10" w:rsidP="007B3527">
            <w:pPr>
              <w:ind w:firstLine="0"/>
              <w:jc w:val="center"/>
              <w:rPr>
                <w:bCs/>
                <w:sz w:val="16"/>
                <w:szCs w:val="16"/>
                <w:lang w:val="ro-MD"/>
              </w:rPr>
            </w:pPr>
            <w:r w:rsidRPr="00312485">
              <w:rPr>
                <w:bCs/>
                <w:sz w:val="16"/>
                <w:szCs w:val="16"/>
                <w:lang w:val="ro-MD"/>
              </w:rPr>
              <w:t>1</w:t>
            </w:r>
            <w:r w:rsidR="007B3527" w:rsidRPr="00312485">
              <w:rPr>
                <w:bCs/>
                <w:sz w:val="16"/>
                <w:szCs w:val="16"/>
                <w:lang w:val="ro-MD"/>
              </w:rPr>
              <w:t xml:space="preserve"> </w:t>
            </w:r>
            <w:r w:rsidRPr="00312485">
              <w:rPr>
                <w:bCs/>
                <w:sz w:val="16"/>
                <w:szCs w:val="16"/>
                <w:lang w:val="ro-MD"/>
              </w:rPr>
              <w:t>095,4</w:t>
            </w:r>
          </w:p>
        </w:tc>
        <w:tc>
          <w:tcPr>
            <w:tcW w:w="856" w:type="dxa"/>
            <w:tcBorders>
              <w:top w:val="nil"/>
              <w:left w:val="nil"/>
              <w:bottom w:val="single" w:sz="4" w:space="0" w:color="auto"/>
              <w:right w:val="single" w:sz="4" w:space="0" w:color="auto"/>
            </w:tcBorders>
            <w:shd w:val="clear" w:color="auto" w:fill="auto"/>
            <w:noWrap/>
            <w:vAlign w:val="center"/>
            <w:hideMark/>
          </w:tcPr>
          <w:p w14:paraId="7912A487" w14:textId="75A9EC4D" w:rsidR="00553E10" w:rsidRPr="00312485" w:rsidRDefault="00553E10" w:rsidP="007B3527">
            <w:pPr>
              <w:ind w:firstLine="0"/>
              <w:jc w:val="center"/>
              <w:rPr>
                <w:bCs/>
                <w:color w:val="000000"/>
                <w:sz w:val="16"/>
                <w:szCs w:val="16"/>
                <w:lang w:val="ro-MD"/>
              </w:rPr>
            </w:pPr>
            <w:r w:rsidRPr="00312485">
              <w:rPr>
                <w:bCs/>
                <w:color w:val="000000"/>
                <w:sz w:val="16"/>
                <w:szCs w:val="16"/>
                <w:lang w:val="ro-MD"/>
              </w:rPr>
              <w:t>82</w:t>
            </w:r>
            <w:r w:rsidR="007B3527" w:rsidRPr="00312485">
              <w:rPr>
                <w:bCs/>
                <w:color w:val="000000"/>
                <w:sz w:val="16"/>
                <w:szCs w:val="16"/>
                <w:lang w:val="ro-MD"/>
              </w:rPr>
              <w:t xml:space="preserve"> </w:t>
            </w:r>
            <w:r w:rsidRPr="00312485">
              <w:rPr>
                <w:bCs/>
                <w:color w:val="000000"/>
                <w:sz w:val="16"/>
                <w:szCs w:val="16"/>
                <w:lang w:val="ro-MD"/>
              </w:rPr>
              <w:t>428,6</w:t>
            </w:r>
          </w:p>
        </w:tc>
        <w:tc>
          <w:tcPr>
            <w:tcW w:w="856" w:type="dxa"/>
            <w:tcBorders>
              <w:top w:val="nil"/>
              <w:left w:val="nil"/>
              <w:bottom w:val="single" w:sz="4" w:space="0" w:color="auto"/>
              <w:right w:val="single" w:sz="4" w:space="0" w:color="auto"/>
            </w:tcBorders>
            <w:shd w:val="clear" w:color="auto" w:fill="auto"/>
            <w:noWrap/>
            <w:vAlign w:val="center"/>
            <w:hideMark/>
          </w:tcPr>
          <w:p w14:paraId="5B3EB95D" w14:textId="0EF8C0ED" w:rsidR="00553E10" w:rsidRPr="00312485" w:rsidRDefault="00553E10" w:rsidP="007B3527">
            <w:pPr>
              <w:ind w:firstLine="0"/>
              <w:jc w:val="center"/>
              <w:rPr>
                <w:bCs/>
                <w:color w:val="000000"/>
                <w:sz w:val="16"/>
                <w:szCs w:val="16"/>
                <w:lang w:val="ro-MD"/>
              </w:rPr>
            </w:pPr>
            <w:r w:rsidRPr="00312485">
              <w:rPr>
                <w:bCs/>
                <w:color w:val="000000"/>
                <w:sz w:val="16"/>
                <w:szCs w:val="16"/>
                <w:lang w:val="ro-MD"/>
              </w:rPr>
              <w:t>89</w:t>
            </w:r>
            <w:r w:rsidR="007B3527" w:rsidRPr="00312485">
              <w:rPr>
                <w:bCs/>
                <w:color w:val="000000"/>
                <w:sz w:val="16"/>
                <w:szCs w:val="16"/>
                <w:lang w:val="ro-MD"/>
              </w:rPr>
              <w:t xml:space="preserve"> </w:t>
            </w:r>
            <w:r w:rsidRPr="00312485">
              <w:rPr>
                <w:bCs/>
                <w:color w:val="000000"/>
                <w:sz w:val="16"/>
                <w:szCs w:val="16"/>
                <w:lang w:val="ro-MD"/>
              </w:rPr>
              <w:t>890,4</w:t>
            </w:r>
          </w:p>
        </w:tc>
        <w:tc>
          <w:tcPr>
            <w:tcW w:w="856" w:type="dxa"/>
            <w:tcBorders>
              <w:top w:val="nil"/>
              <w:left w:val="nil"/>
              <w:bottom w:val="single" w:sz="4" w:space="0" w:color="auto"/>
              <w:right w:val="single" w:sz="8" w:space="0" w:color="auto"/>
            </w:tcBorders>
            <w:shd w:val="clear" w:color="auto" w:fill="auto"/>
            <w:noWrap/>
            <w:vAlign w:val="center"/>
            <w:hideMark/>
          </w:tcPr>
          <w:p w14:paraId="105A1B66" w14:textId="3EBF4793" w:rsidR="00553E10" w:rsidRPr="00312485" w:rsidRDefault="00553E10" w:rsidP="007B3527">
            <w:pPr>
              <w:ind w:firstLine="0"/>
              <w:jc w:val="center"/>
              <w:rPr>
                <w:bCs/>
                <w:color w:val="000000"/>
                <w:sz w:val="16"/>
                <w:szCs w:val="16"/>
                <w:lang w:val="ro-MD"/>
              </w:rPr>
            </w:pPr>
            <w:r w:rsidRPr="00312485">
              <w:rPr>
                <w:bCs/>
                <w:color w:val="000000"/>
                <w:sz w:val="16"/>
                <w:szCs w:val="16"/>
                <w:lang w:val="ro-MD"/>
              </w:rPr>
              <w:t>98</w:t>
            </w:r>
            <w:r w:rsidR="007B3527" w:rsidRPr="00312485">
              <w:rPr>
                <w:bCs/>
                <w:color w:val="000000"/>
                <w:sz w:val="16"/>
                <w:szCs w:val="16"/>
                <w:lang w:val="ro-MD"/>
              </w:rPr>
              <w:t xml:space="preserve"> </w:t>
            </w:r>
            <w:r w:rsidRPr="00312485">
              <w:rPr>
                <w:bCs/>
                <w:color w:val="000000"/>
                <w:sz w:val="16"/>
                <w:szCs w:val="16"/>
                <w:lang w:val="ro-MD"/>
              </w:rPr>
              <w:t>000,4</w:t>
            </w:r>
          </w:p>
        </w:tc>
      </w:tr>
      <w:tr w:rsidR="00553E10" w:rsidRPr="00312485" w14:paraId="3DC6BCBB"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20786E84"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Impozite pe venit</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473482AA" w14:textId="216B3473" w:rsidR="00553E10" w:rsidRPr="00312485" w:rsidRDefault="00553E10" w:rsidP="007B3527">
            <w:pPr>
              <w:ind w:firstLine="0"/>
              <w:jc w:val="center"/>
              <w:rPr>
                <w:bCs/>
                <w:sz w:val="16"/>
                <w:szCs w:val="16"/>
                <w:lang w:val="ro-MD"/>
              </w:rPr>
            </w:pPr>
            <w:r w:rsidRPr="00312485">
              <w:rPr>
                <w:bCs/>
                <w:sz w:val="16"/>
                <w:szCs w:val="16"/>
                <w:lang w:val="ro-MD"/>
              </w:rPr>
              <w:t>21</w:t>
            </w:r>
            <w:r w:rsidR="007B3527" w:rsidRPr="00312485">
              <w:rPr>
                <w:bCs/>
                <w:sz w:val="16"/>
                <w:szCs w:val="16"/>
                <w:lang w:val="ro-MD"/>
              </w:rPr>
              <w:t xml:space="preserve"> </w:t>
            </w:r>
            <w:r w:rsidRPr="00312485">
              <w:rPr>
                <w:bCs/>
                <w:sz w:val="16"/>
                <w:szCs w:val="16"/>
                <w:lang w:val="ro-MD"/>
              </w:rPr>
              <w:t>060,0</w:t>
            </w:r>
          </w:p>
        </w:tc>
        <w:tc>
          <w:tcPr>
            <w:tcW w:w="856" w:type="dxa"/>
            <w:tcBorders>
              <w:top w:val="nil"/>
              <w:left w:val="nil"/>
              <w:bottom w:val="single" w:sz="4" w:space="0" w:color="auto"/>
              <w:right w:val="single" w:sz="4" w:space="0" w:color="auto"/>
            </w:tcBorders>
            <w:shd w:val="clear" w:color="000000" w:fill="FFFFFF"/>
            <w:noWrap/>
            <w:vAlign w:val="center"/>
            <w:hideMark/>
          </w:tcPr>
          <w:p w14:paraId="44857CE3" w14:textId="50CB567F" w:rsidR="00553E10" w:rsidRPr="00312485" w:rsidRDefault="00553E10" w:rsidP="007B3527">
            <w:pPr>
              <w:ind w:firstLine="0"/>
              <w:jc w:val="center"/>
              <w:rPr>
                <w:bCs/>
                <w:sz w:val="16"/>
                <w:szCs w:val="16"/>
                <w:lang w:val="ro-MD"/>
              </w:rPr>
            </w:pPr>
            <w:r w:rsidRPr="00312485">
              <w:rPr>
                <w:bCs/>
                <w:sz w:val="16"/>
                <w:szCs w:val="16"/>
                <w:lang w:val="ro-MD"/>
              </w:rPr>
              <w:t>23</w:t>
            </w:r>
            <w:r w:rsidR="007B3527" w:rsidRPr="00312485">
              <w:rPr>
                <w:bCs/>
                <w:sz w:val="16"/>
                <w:szCs w:val="16"/>
                <w:lang w:val="ro-MD"/>
              </w:rPr>
              <w:t xml:space="preserve"> </w:t>
            </w:r>
            <w:r w:rsidRPr="00312485">
              <w:rPr>
                <w:bCs/>
                <w:sz w:val="16"/>
                <w:szCs w:val="16"/>
                <w:lang w:val="ro-MD"/>
              </w:rPr>
              <w:t>663,5</w:t>
            </w:r>
          </w:p>
        </w:tc>
        <w:tc>
          <w:tcPr>
            <w:tcW w:w="856" w:type="dxa"/>
            <w:tcBorders>
              <w:top w:val="nil"/>
              <w:left w:val="nil"/>
              <w:bottom w:val="single" w:sz="4" w:space="0" w:color="auto"/>
              <w:right w:val="single" w:sz="8" w:space="0" w:color="auto"/>
            </w:tcBorders>
            <w:shd w:val="clear" w:color="000000" w:fill="FFFFFF"/>
            <w:noWrap/>
            <w:vAlign w:val="center"/>
            <w:hideMark/>
          </w:tcPr>
          <w:p w14:paraId="5014F518" w14:textId="05B4DBD1" w:rsidR="00553E10" w:rsidRPr="00312485" w:rsidRDefault="00553E10" w:rsidP="007B3527">
            <w:pPr>
              <w:ind w:firstLine="0"/>
              <w:jc w:val="center"/>
              <w:rPr>
                <w:bCs/>
                <w:sz w:val="16"/>
                <w:szCs w:val="16"/>
                <w:lang w:val="ro-MD"/>
              </w:rPr>
            </w:pPr>
            <w:r w:rsidRPr="00312485">
              <w:rPr>
                <w:bCs/>
                <w:sz w:val="16"/>
                <w:szCs w:val="16"/>
                <w:lang w:val="ro-MD"/>
              </w:rPr>
              <w:t>26</w:t>
            </w:r>
            <w:r w:rsidR="007B3527" w:rsidRPr="00312485">
              <w:rPr>
                <w:bCs/>
                <w:sz w:val="16"/>
                <w:szCs w:val="16"/>
                <w:lang w:val="ro-MD"/>
              </w:rPr>
              <w:t xml:space="preserve"> </w:t>
            </w:r>
            <w:r w:rsidRPr="00312485">
              <w:rPr>
                <w:bCs/>
                <w:sz w:val="16"/>
                <w:szCs w:val="16"/>
                <w:lang w:val="ro-MD"/>
              </w:rPr>
              <w:t>406,0</w:t>
            </w:r>
          </w:p>
        </w:tc>
        <w:tc>
          <w:tcPr>
            <w:tcW w:w="576" w:type="dxa"/>
            <w:tcBorders>
              <w:top w:val="nil"/>
              <w:left w:val="nil"/>
              <w:bottom w:val="single" w:sz="4" w:space="0" w:color="auto"/>
              <w:right w:val="single" w:sz="4" w:space="0" w:color="auto"/>
            </w:tcBorders>
            <w:shd w:val="clear" w:color="000000" w:fill="FFFFFF"/>
            <w:noWrap/>
            <w:vAlign w:val="center"/>
            <w:hideMark/>
          </w:tcPr>
          <w:p w14:paraId="4F0B7162" w14:textId="13292571" w:rsidR="00553E10" w:rsidRPr="00312485" w:rsidRDefault="00553E10" w:rsidP="00553E10">
            <w:pPr>
              <w:ind w:firstLine="0"/>
              <w:jc w:val="center"/>
              <w:rPr>
                <w:bCs/>
                <w:sz w:val="16"/>
                <w:szCs w:val="16"/>
                <w:lang w:val="ro-MD"/>
              </w:rPr>
            </w:pPr>
            <w:r w:rsidRPr="00312485">
              <w:rPr>
                <w:bCs/>
                <w:sz w:val="16"/>
                <w:szCs w:val="16"/>
                <w:lang w:val="ro-MD"/>
              </w:rPr>
              <w:t>824,0</w:t>
            </w:r>
          </w:p>
        </w:tc>
        <w:tc>
          <w:tcPr>
            <w:tcW w:w="696" w:type="dxa"/>
            <w:tcBorders>
              <w:top w:val="nil"/>
              <w:left w:val="nil"/>
              <w:bottom w:val="single" w:sz="4" w:space="0" w:color="auto"/>
              <w:right w:val="single" w:sz="4" w:space="0" w:color="auto"/>
            </w:tcBorders>
            <w:shd w:val="clear" w:color="000000" w:fill="FFFFFF"/>
            <w:noWrap/>
            <w:vAlign w:val="center"/>
            <w:hideMark/>
          </w:tcPr>
          <w:p w14:paraId="0509AA60" w14:textId="616D7544" w:rsidR="00553E10" w:rsidRPr="00312485" w:rsidRDefault="00553E10" w:rsidP="00553E10">
            <w:pPr>
              <w:ind w:firstLine="0"/>
              <w:jc w:val="center"/>
              <w:rPr>
                <w:bCs/>
                <w:sz w:val="16"/>
                <w:szCs w:val="16"/>
                <w:lang w:val="ro-MD"/>
              </w:rPr>
            </w:pPr>
            <w:r w:rsidRPr="00312485">
              <w:rPr>
                <w:bCs/>
                <w:sz w:val="16"/>
                <w:szCs w:val="16"/>
                <w:lang w:val="ro-MD"/>
              </w:rPr>
              <w:t>892,0</w:t>
            </w:r>
          </w:p>
        </w:tc>
        <w:tc>
          <w:tcPr>
            <w:tcW w:w="696" w:type="dxa"/>
            <w:tcBorders>
              <w:top w:val="nil"/>
              <w:left w:val="nil"/>
              <w:bottom w:val="single" w:sz="4" w:space="0" w:color="auto"/>
              <w:right w:val="single" w:sz="8" w:space="0" w:color="auto"/>
            </w:tcBorders>
            <w:shd w:val="clear" w:color="000000" w:fill="FFFFFF"/>
            <w:noWrap/>
            <w:vAlign w:val="center"/>
            <w:hideMark/>
          </w:tcPr>
          <w:p w14:paraId="5ED9DC52" w14:textId="78E652CD" w:rsidR="00553E10" w:rsidRPr="00312485" w:rsidRDefault="00553E10" w:rsidP="00553E10">
            <w:pPr>
              <w:ind w:firstLine="0"/>
              <w:jc w:val="center"/>
              <w:rPr>
                <w:bCs/>
                <w:sz w:val="16"/>
                <w:szCs w:val="16"/>
                <w:lang w:val="ro-MD"/>
              </w:rPr>
            </w:pPr>
            <w:r w:rsidRPr="00312485">
              <w:rPr>
                <w:bCs/>
                <w:sz w:val="16"/>
                <w:szCs w:val="16"/>
                <w:lang w:val="ro-MD"/>
              </w:rPr>
              <w:t>955,0</w:t>
            </w:r>
          </w:p>
        </w:tc>
        <w:tc>
          <w:tcPr>
            <w:tcW w:w="856" w:type="dxa"/>
            <w:tcBorders>
              <w:top w:val="nil"/>
              <w:left w:val="nil"/>
              <w:bottom w:val="single" w:sz="4" w:space="0" w:color="auto"/>
              <w:right w:val="single" w:sz="4" w:space="0" w:color="auto"/>
            </w:tcBorders>
            <w:shd w:val="clear" w:color="auto" w:fill="auto"/>
            <w:noWrap/>
            <w:vAlign w:val="center"/>
            <w:hideMark/>
          </w:tcPr>
          <w:p w14:paraId="66E61F83" w14:textId="355C3894" w:rsidR="00553E10" w:rsidRPr="00312485" w:rsidRDefault="00553E10" w:rsidP="007B3527">
            <w:pPr>
              <w:ind w:firstLine="0"/>
              <w:jc w:val="center"/>
              <w:rPr>
                <w:bCs/>
                <w:color w:val="000000"/>
                <w:sz w:val="16"/>
                <w:szCs w:val="16"/>
                <w:lang w:val="ro-MD"/>
              </w:rPr>
            </w:pPr>
            <w:r w:rsidRPr="00312485">
              <w:rPr>
                <w:bCs/>
                <w:color w:val="000000"/>
                <w:sz w:val="16"/>
                <w:szCs w:val="16"/>
                <w:lang w:val="ro-MD"/>
              </w:rPr>
              <w:t>21</w:t>
            </w:r>
            <w:r w:rsidR="007B3527" w:rsidRPr="00312485">
              <w:rPr>
                <w:bCs/>
                <w:color w:val="000000"/>
                <w:sz w:val="16"/>
                <w:szCs w:val="16"/>
                <w:lang w:val="ro-MD"/>
              </w:rPr>
              <w:t xml:space="preserve"> </w:t>
            </w:r>
            <w:r w:rsidRPr="00312485">
              <w:rPr>
                <w:bCs/>
                <w:color w:val="000000"/>
                <w:sz w:val="16"/>
                <w:szCs w:val="16"/>
                <w:lang w:val="ro-MD"/>
              </w:rPr>
              <w:t>884,0</w:t>
            </w:r>
          </w:p>
        </w:tc>
        <w:tc>
          <w:tcPr>
            <w:tcW w:w="856" w:type="dxa"/>
            <w:tcBorders>
              <w:top w:val="nil"/>
              <w:left w:val="nil"/>
              <w:bottom w:val="single" w:sz="4" w:space="0" w:color="auto"/>
              <w:right w:val="single" w:sz="4" w:space="0" w:color="auto"/>
            </w:tcBorders>
            <w:shd w:val="clear" w:color="auto" w:fill="auto"/>
            <w:noWrap/>
            <w:vAlign w:val="center"/>
            <w:hideMark/>
          </w:tcPr>
          <w:p w14:paraId="2553C9BF" w14:textId="26A27B54" w:rsidR="00553E10" w:rsidRPr="00312485" w:rsidRDefault="00553E10" w:rsidP="007B3527">
            <w:pPr>
              <w:ind w:firstLine="0"/>
              <w:jc w:val="center"/>
              <w:rPr>
                <w:bCs/>
                <w:color w:val="000000"/>
                <w:sz w:val="16"/>
                <w:szCs w:val="16"/>
                <w:lang w:val="ro-MD"/>
              </w:rPr>
            </w:pPr>
            <w:r w:rsidRPr="00312485">
              <w:rPr>
                <w:bCs/>
                <w:color w:val="000000"/>
                <w:sz w:val="16"/>
                <w:szCs w:val="16"/>
                <w:lang w:val="ro-MD"/>
              </w:rPr>
              <w:t>24</w:t>
            </w:r>
            <w:r w:rsidR="007B3527" w:rsidRPr="00312485">
              <w:rPr>
                <w:bCs/>
                <w:color w:val="000000"/>
                <w:sz w:val="16"/>
                <w:szCs w:val="16"/>
                <w:lang w:val="ro-MD"/>
              </w:rPr>
              <w:t xml:space="preserve"> </w:t>
            </w:r>
            <w:r w:rsidRPr="00312485">
              <w:rPr>
                <w:bCs/>
                <w:color w:val="000000"/>
                <w:sz w:val="16"/>
                <w:szCs w:val="16"/>
                <w:lang w:val="ro-MD"/>
              </w:rPr>
              <w:t>555,5</w:t>
            </w:r>
          </w:p>
        </w:tc>
        <w:tc>
          <w:tcPr>
            <w:tcW w:w="856" w:type="dxa"/>
            <w:tcBorders>
              <w:top w:val="nil"/>
              <w:left w:val="nil"/>
              <w:bottom w:val="single" w:sz="4" w:space="0" w:color="auto"/>
              <w:right w:val="single" w:sz="8" w:space="0" w:color="auto"/>
            </w:tcBorders>
            <w:shd w:val="clear" w:color="auto" w:fill="auto"/>
            <w:noWrap/>
            <w:vAlign w:val="center"/>
            <w:hideMark/>
          </w:tcPr>
          <w:p w14:paraId="1A6F601B" w14:textId="45CE2623" w:rsidR="00553E10" w:rsidRPr="00312485" w:rsidRDefault="00553E10" w:rsidP="007B3527">
            <w:pPr>
              <w:ind w:firstLine="0"/>
              <w:jc w:val="center"/>
              <w:rPr>
                <w:bCs/>
                <w:color w:val="000000"/>
                <w:sz w:val="16"/>
                <w:szCs w:val="16"/>
                <w:lang w:val="ro-MD"/>
              </w:rPr>
            </w:pPr>
            <w:r w:rsidRPr="00312485">
              <w:rPr>
                <w:bCs/>
                <w:color w:val="000000"/>
                <w:sz w:val="16"/>
                <w:szCs w:val="16"/>
                <w:lang w:val="ro-MD"/>
              </w:rPr>
              <w:t>27</w:t>
            </w:r>
            <w:r w:rsidR="007B3527" w:rsidRPr="00312485">
              <w:rPr>
                <w:bCs/>
                <w:color w:val="000000"/>
                <w:sz w:val="16"/>
                <w:szCs w:val="16"/>
                <w:lang w:val="ro-MD"/>
              </w:rPr>
              <w:t xml:space="preserve"> </w:t>
            </w:r>
            <w:r w:rsidRPr="00312485">
              <w:rPr>
                <w:bCs/>
                <w:color w:val="000000"/>
                <w:sz w:val="16"/>
                <w:szCs w:val="16"/>
                <w:lang w:val="ro-MD"/>
              </w:rPr>
              <w:t>361,0</w:t>
            </w:r>
          </w:p>
        </w:tc>
      </w:tr>
      <w:tr w:rsidR="00553E10" w:rsidRPr="00312485" w14:paraId="2B4019CB"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0C43325F"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Impozite pe proprietate</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08F01139" w14:textId="18CE2B36" w:rsidR="00553E10" w:rsidRPr="00312485" w:rsidRDefault="00553E10" w:rsidP="00553E10">
            <w:pPr>
              <w:ind w:firstLine="0"/>
              <w:jc w:val="center"/>
              <w:rPr>
                <w:bCs/>
                <w:sz w:val="16"/>
                <w:szCs w:val="16"/>
                <w:lang w:val="ro-MD"/>
              </w:rPr>
            </w:pPr>
            <w:r w:rsidRPr="00312485">
              <w:rPr>
                <w:bCs/>
                <w:sz w:val="16"/>
                <w:szCs w:val="16"/>
                <w:lang w:val="ro-MD"/>
              </w:rPr>
              <w:t>876,0</w:t>
            </w:r>
          </w:p>
        </w:tc>
        <w:tc>
          <w:tcPr>
            <w:tcW w:w="856" w:type="dxa"/>
            <w:tcBorders>
              <w:top w:val="nil"/>
              <w:left w:val="nil"/>
              <w:bottom w:val="single" w:sz="4" w:space="0" w:color="auto"/>
              <w:right w:val="single" w:sz="4" w:space="0" w:color="auto"/>
            </w:tcBorders>
            <w:shd w:val="clear" w:color="000000" w:fill="FFFFFF"/>
            <w:noWrap/>
            <w:vAlign w:val="center"/>
            <w:hideMark/>
          </w:tcPr>
          <w:p w14:paraId="7CD17FB6" w14:textId="5033204A" w:rsidR="00553E10" w:rsidRPr="00312485" w:rsidRDefault="00553E10" w:rsidP="00553E10">
            <w:pPr>
              <w:ind w:firstLine="0"/>
              <w:jc w:val="center"/>
              <w:rPr>
                <w:bCs/>
                <w:sz w:val="16"/>
                <w:szCs w:val="16"/>
                <w:lang w:val="ro-MD"/>
              </w:rPr>
            </w:pPr>
            <w:r w:rsidRPr="00312485">
              <w:rPr>
                <w:bCs/>
                <w:sz w:val="16"/>
                <w:szCs w:val="16"/>
                <w:lang w:val="ro-MD"/>
              </w:rPr>
              <w:t>887,0</w:t>
            </w:r>
          </w:p>
        </w:tc>
        <w:tc>
          <w:tcPr>
            <w:tcW w:w="856" w:type="dxa"/>
            <w:tcBorders>
              <w:top w:val="nil"/>
              <w:left w:val="nil"/>
              <w:bottom w:val="single" w:sz="4" w:space="0" w:color="auto"/>
              <w:right w:val="single" w:sz="8" w:space="0" w:color="auto"/>
            </w:tcBorders>
            <w:shd w:val="clear" w:color="000000" w:fill="FFFFFF"/>
            <w:noWrap/>
            <w:vAlign w:val="center"/>
            <w:hideMark/>
          </w:tcPr>
          <w:p w14:paraId="0C1D5850" w14:textId="194CE337" w:rsidR="00553E10" w:rsidRPr="00312485" w:rsidRDefault="00553E10" w:rsidP="00553E10">
            <w:pPr>
              <w:ind w:firstLine="0"/>
              <w:jc w:val="center"/>
              <w:rPr>
                <w:bCs/>
                <w:sz w:val="16"/>
                <w:szCs w:val="16"/>
                <w:lang w:val="ro-MD"/>
              </w:rPr>
            </w:pPr>
            <w:r w:rsidRPr="00312485">
              <w:rPr>
                <w:bCs/>
                <w:sz w:val="16"/>
                <w:szCs w:val="16"/>
                <w:lang w:val="ro-MD"/>
              </w:rPr>
              <w:t>925,3</w:t>
            </w:r>
          </w:p>
        </w:tc>
        <w:tc>
          <w:tcPr>
            <w:tcW w:w="576" w:type="dxa"/>
            <w:tcBorders>
              <w:top w:val="nil"/>
              <w:left w:val="nil"/>
              <w:bottom w:val="single" w:sz="4" w:space="0" w:color="auto"/>
              <w:right w:val="single" w:sz="4" w:space="0" w:color="auto"/>
            </w:tcBorders>
            <w:shd w:val="clear" w:color="000000" w:fill="FFFFFF"/>
            <w:noWrap/>
            <w:vAlign w:val="center"/>
            <w:hideMark/>
          </w:tcPr>
          <w:p w14:paraId="5CD1BDD1" w14:textId="53AA6668" w:rsidR="00553E10" w:rsidRPr="00312485" w:rsidRDefault="00553E10" w:rsidP="00553E10">
            <w:pPr>
              <w:ind w:firstLine="0"/>
              <w:jc w:val="center"/>
              <w:rPr>
                <w:bCs/>
                <w:sz w:val="16"/>
                <w:szCs w:val="16"/>
                <w:lang w:val="ro-MD"/>
              </w:rPr>
            </w:pPr>
          </w:p>
        </w:tc>
        <w:tc>
          <w:tcPr>
            <w:tcW w:w="696" w:type="dxa"/>
            <w:tcBorders>
              <w:top w:val="nil"/>
              <w:left w:val="nil"/>
              <w:bottom w:val="single" w:sz="4" w:space="0" w:color="auto"/>
              <w:right w:val="single" w:sz="4" w:space="0" w:color="auto"/>
            </w:tcBorders>
            <w:shd w:val="clear" w:color="000000" w:fill="FFFFFF"/>
            <w:noWrap/>
            <w:vAlign w:val="center"/>
            <w:hideMark/>
          </w:tcPr>
          <w:p w14:paraId="756BE313" w14:textId="4B27815E" w:rsidR="00553E10" w:rsidRPr="00312485" w:rsidRDefault="00553E10" w:rsidP="00553E10">
            <w:pPr>
              <w:ind w:firstLine="0"/>
              <w:jc w:val="center"/>
              <w:rPr>
                <w:bCs/>
                <w:sz w:val="16"/>
                <w:szCs w:val="16"/>
                <w:lang w:val="ro-MD"/>
              </w:rPr>
            </w:pPr>
          </w:p>
        </w:tc>
        <w:tc>
          <w:tcPr>
            <w:tcW w:w="696" w:type="dxa"/>
            <w:tcBorders>
              <w:top w:val="nil"/>
              <w:left w:val="nil"/>
              <w:bottom w:val="single" w:sz="4" w:space="0" w:color="auto"/>
              <w:right w:val="single" w:sz="8" w:space="0" w:color="auto"/>
            </w:tcBorders>
            <w:shd w:val="clear" w:color="000000" w:fill="FFFFFF"/>
            <w:noWrap/>
            <w:vAlign w:val="center"/>
            <w:hideMark/>
          </w:tcPr>
          <w:p w14:paraId="46F33C2C" w14:textId="459AC7F8" w:rsidR="00553E10" w:rsidRPr="00312485" w:rsidRDefault="00553E10" w:rsidP="00553E10">
            <w:pPr>
              <w:ind w:firstLine="0"/>
              <w:jc w:val="center"/>
              <w:rPr>
                <w:bCs/>
                <w:sz w:val="16"/>
                <w:szCs w:val="16"/>
                <w:lang w:val="ro-MD"/>
              </w:rPr>
            </w:pPr>
          </w:p>
        </w:tc>
        <w:tc>
          <w:tcPr>
            <w:tcW w:w="856" w:type="dxa"/>
            <w:tcBorders>
              <w:top w:val="nil"/>
              <w:left w:val="nil"/>
              <w:bottom w:val="single" w:sz="4" w:space="0" w:color="auto"/>
              <w:right w:val="single" w:sz="4" w:space="0" w:color="auto"/>
            </w:tcBorders>
            <w:shd w:val="clear" w:color="auto" w:fill="auto"/>
            <w:noWrap/>
            <w:vAlign w:val="center"/>
            <w:hideMark/>
          </w:tcPr>
          <w:p w14:paraId="7C584FF4" w14:textId="45335236" w:rsidR="00553E10" w:rsidRPr="00312485" w:rsidRDefault="00553E10" w:rsidP="00553E10">
            <w:pPr>
              <w:ind w:firstLine="0"/>
              <w:jc w:val="center"/>
              <w:rPr>
                <w:bCs/>
                <w:color w:val="000000"/>
                <w:sz w:val="16"/>
                <w:szCs w:val="16"/>
                <w:lang w:val="ro-MD"/>
              </w:rPr>
            </w:pPr>
            <w:r w:rsidRPr="00312485">
              <w:rPr>
                <w:bCs/>
                <w:color w:val="000000"/>
                <w:sz w:val="16"/>
                <w:szCs w:val="16"/>
                <w:lang w:val="ro-MD"/>
              </w:rPr>
              <w:t>876,0</w:t>
            </w:r>
          </w:p>
        </w:tc>
        <w:tc>
          <w:tcPr>
            <w:tcW w:w="856" w:type="dxa"/>
            <w:tcBorders>
              <w:top w:val="nil"/>
              <w:left w:val="nil"/>
              <w:bottom w:val="single" w:sz="4" w:space="0" w:color="auto"/>
              <w:right w:val="single" w:sz="4" w:space="0" w:color="auto"/>
            </w:tcBorders>
            <w:shd w:val="clear" w:color="auto" w:fill="auto"/>
            <w:noWrap/>
            <w:vAlign w:val="center"/>
            <w:hideMark/>
          </w:tcPr>
          <w:p w14:paraId="63003A07" w14:textId="7404CCCB" w:rsidR="00553E10" w:rsidRPr="00312485" w:rsidRDefault="00553E10" w:rsidP="00553E10">
            <w:pPr>
              <w:ind w:firstLine="0"/>
              <w:jc w:val="center"/>
              <w:rPr>
                <w:bCs/>
                <w:color w:val="000000"/>
                <w:sz w:val="16"/>
                <w:szCs w:val="16"/>
                <w:lang w:val="ro-MD"/>
              </w:rPr>
            </w:pPr>
            <w:r w:rsidRPr="00312485">
              <w:rPr>
                <w:bCs/>
                <w:color w:val="000000"/>
                <w:sz w:val="16"/>
                <w:szCs w:val="16"/>
                <w:lang w:val="ro-MD"/>
              </w:rPr>
              <w:t>887,0</w:t>
            </w:r>
          </w:p>
        </w:tc>
        <w:tc>
          <w:tcPr>
            <w:tcW w:w="856" w:type="dxa"/>
            <w:tcBorders>
              <w:top w:val="nil"/>
              <w:left w:val="nil"/>
              <w:bottom w:val="single" w:sz="4" w:space="0" w:color="auto"/>
              <w:right w:val="single" w:sz="8" w:space="0" w:color="auto"/>
            </w:tcBorders>
            <w:shd w:val="clear" w:color="auto" w:fill="auto"/>
            <w:noWrap/>
            <w:vAlign w:val="center"/>
            <w:hideMark/>
          </w:tcPr>
          <w:p w14:paraId="1ABEF816" w14:textId="42338748" w:rsidR="00553E10" w:rsidRPr="00312485" w:rsidRDefault="00553E10" w:rsidP="00553E10">
            <w:pPr>
              <w:ind w:firstLine="0"/>
              <w:jc w:val="center"/>
              <w:rPr>
                <w:bCs/>
                <w:color w:val="000000"/>
                <w:sz w:val="16"/>
                <w:szCs w:val="16"/>
                <w:lang w:val="ro-MD"/>
              </w:rPr>
            </w:pPr>
            <w:r w:rsidRPr="00312485">
              <w:rPr>
                <w:bCs/>
                <w:color w:val="000000"/>
                <w:sz w:val="16"/>
                <w:szCs w:val="16"/>
                <w:lang w:val="ro-MD"/>
              </w:rPr>
              <w:t>925,3</w:t>
            </w:r>
          </w:p>
        </w:tc>
      </w:tr>
      <w:tr w:rsidR="00553E10" w:rsidRPr="00312485" w14:paraId="28AF7B70" w14:textId="77777777" w:rsidTr="00553E10">
        <w:trPr>
          <w:trHeight w:val="480"/>
        </w:trPr>
        <w:tc>
          <w:tcPr>
            <w:tcW w:w="2258" w:type="dxa"/>
            <w:tcBorders>
              <w:top w:val="nil"/>
              <w:left w:val="single" w:sz="8" w:space="0" w:color="auto"/>
              <w:bottom w:val="single" w:sz="4" w:space="0" w:color="auto"/>
              <w:right w:val="nil"/>
            </w:tcBorders>
            <w:shd w:val="clear" w:color="auto" w:fill="auto"/>
            <w:vAlign w:val="center"/>
            <w:hideMark/>
          </w:tcPr>
          <w:p w14:paraId="552A4441"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Impozite și taxe pe mărfuri și servicii</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518964B4" w14:textId="4DE91549" w:rsidR="00553E10" w:rsidRPr="00312485" w:rsidRDefault="00553E10" w:rsidP="007B3527">
            <w:pPr>
              <w:ind w:firstLine="0"/>
              <w:jc w:val="center"/>
              <w:rPr>
                <w:bCs/>
                <w:sz w:val="16"/>
                <w:szCs w:val="16"/>
                <w:lang w:val="ro-MD"/>
              </w:rPr>
            </w:pPr>
            <w:r w:rsidRPr="00312485">
              <w:rPr>
                <w:bCs/>
                <w:sz w:val="16"/>
                <w:szCs w:val="16"/>
                <w:lang w:val="ro-MD"/>
              </w:rPr>
              <w:t>56</w:t>
            </w:r>
            <w:r w:rsidR="007B3527" w:rsidRPr="00312485">
              <w:rPr>
                <w:bCs/>
                <w:sz w:val="16"/>
                <w:szCs w:val="16"/>
                <w:lang w:val="ro-MD"/>
              </w:rPr>
              <w:t xml:space="preserve"> </w:t>
            </w:r>
            <w:r w:rsidRPr="00312485">
              <w:rPr>
                <w:bCs/>
                <w:sz w:val="16"/>
                <w:szCs w:val="16"/>
                <w:lang w:val="ro-MD"/>
              </w:rPr>
              <w:t>511,8</w:t>
            </w:r>
          </w:p>
        </w:tc>
        <w:tc>
          <w:tcPr>
            <w:tcW w:w="856" w:type="dxa"/>
            <w:tcBorders>
              <w:top w:val="nil"/>
              <w:left w:val="nil"/>
              <w:bottom w:val="single" w:sz="4" w:space="0" w:color="auto"/>
              <w:right w:val="single" w:sz="4" w:space="0" w:color="auto"/>
            </w:tcBorders>
            <w:shd w:val="clear" w:color="000000" w:fill="FFFFFF"/>
            <w:noWrap/>
            <w:vAlign w:val="center"/>
            <w:hideMark/>
          </w:tcPr>
          <w:p w14:paraId="1EE9273B" w14:textId="18CC57FE" w:rsidR="00553E10" w:rsidRPr="00312485" w:rsidRDefault="00553E10" w:rsidP="007B3527">
            <w:pPr>
              <w:ind w:firstLine="0"/>
              <w:jc w:val="center"/>
              <w:rPr>
                <w:bCs/>
                <w:sz w:val="16"/>
                <w:szCs w:val="16"/>
                <w:lang w:val="ro-MD"/>
              </w:rPr>
            </w:pPr>
            <w:r w:rsidRPr="00312485">
              <w:rPr>
                <w:bCs/>
                <w:sz w:val="16"/>
                <w:szCs w:val="16"/>
                <w:lang w:val="ro-MD"/>
              </w:rPr>
              <w:t>61</w:t>
            </w:r>
            <w:r w:rsidR="007B3527" w:rsidRPr="00312485">
              <w:rPr>
                <w:bCs/>
                <w:sz w:val="16"/>
                <w:szCs w:val="16"/>
                <w:lang w:val="ro-MD"/>
              </w:rPr>
              <w:t xml:space="preserve"> </w:t>
            </w:r>
            <w:r w:rsidRPr="00312485">
              <w:rPr>
                <w:bCs/>
                <w:sz w:val="16"/>
                <w:szCs w:val="16"/>
                <w:lang w:val="ro-MD"/>
              </w:rPr>
              <w:t>055,0</w:t>
            </w:r>
          </w:p>
        </w:tc>
        <w:tc>
          <w:tcPr>
            <w:tcW w:w="856" w:type="dxa"/>
            <w:tcBorders>
              <w:top w:val="nil"/>
              <w:left w:val="nil"/>
              <w:bottom w:val="single" w:sz="4" w:space="0" w:color="auto"/>
              <w:right w:val="single" w:sz="8" w:space="0" w:color="auto"/>
            </w:tcBorders>
            <w:shd w:val="clear" w:color="000000" w:fill="FFFFFF"/>
            <w:noWrap/>
            <w:vAlign w:val="center"/>
            <w:hideMark/>
          </w:tcPr>
          <w:p w14:paraId="7192D41A" w14:textId="5EAE0433" w:rsidR="00553E10" w:rsidRPr="00312485" w:rsidRDefault="00553E10" w:rsidP="00014C4B">
            <w:pPr>
              <w:ind w:firstLine="0"/>
              <w:jc w:val="center"/>
              <w:rPr>
                <w:bCs/>
                <w:sz w:val="16"/>
                <w:szCs w:val="16"/>
                <w:lang w:val="ro-MD"/>
              </w:rPr>
            </w:pPr>
            <w:r w:rsidRPr="00312485">
              <w:rPr>
                <w:bCs/>
                <w:sz w:val="16"/>
                <w:szCs w:val="16"/>
                <w:lang w:val="ro-MD"/>
              </w:rPr>
              <w:t>66</w:t>
            </w:r>
            <w:r w:rsidR="00014C4B" w:rsidRPr="00312485">
              <w:rPr>
                <w:bCs/>
                <w:sz w:val="16"/>
                <w:szCs w:val="16"/>
                <w:lang w:val="ro-MD"/>
              </w:rPr>
              <w:t xml:space="preserve"> </w:t>
            </w:r>
            <w:r w:rsidRPr="00312485">
              <w:rPr>
                <w:bCs/>
                <w:sz w:val="16"/>
                <w:szCs w:val="16"/>
                <w:lang w:val="ro-MD"/>
              </w:rPr>
              <w:t>129,1</w:t>
            </w:r>
          </w:p>
        </w:tc>
        <w:tc>
          <w:tcPr>
            <w:tcW w:w="576" w:type="dxa"/>
            <w:tcBorders>
              <w:top w:val="nil"/>
              <w:left w:val="nil"/>
              <w:bottom w:val="single" w:sz="4" w:space="0" w:color="auto"/>
              <w:right w:val="single" w:sz="4" w:space="0" w:color="auto"/>
            </w:tcBorders>
            <w:shd w:val="clear" w:color="000000" w:fill="FFFFFF"/>
            <w:noWrap/>
            <w:vAlign w:val="center"/>
            <w:hideMark/>
          </w:tcPr>
          <w:p w14:paraId="28DFE933" w14:textId="6DA4766D" w:rsidR="00553E10" w:rsidRPr="00312485" w:rsidRDefault="00553E10" w:rsidP="00553E10">
            <w:pPr>
              <w:ind w:firstLine="0"/>
              <w:jc w:val="center"/>
              <w:rPr>
                <w:bCs/>
                <w:sz w:val="16"/>
                <w:szCs w:val="16"/>
                <w:lang w:val="ro-MD"/>
              </w:rPr>
            </w:pPr>
            <w:r w:rsidRPr="00312485">
              <w:rPr>
                <w:bCs/>
                <w:sz w:val="16"/>
                <w:szCs w:val="16"/>
                <w:lang w:val="ro-MD"/>
              </w:rPr>
              <w:t>118,8</w:t>
            </w:r>
          </w:p>
        </w:tc>
        <w:tc>
          <w:tcPr>
            <w:tcW w:w="696" w:type="dxa"/>
            <w:tcBorders>
              <w:top w:val="nil"/>
              <w:left w:val="nil"/>
              <w:bottom w:val="single" w:sz="4" w:space="0" w:color="auto"/>
              <w:right w:val="single" w:sz="4" w:space="0" w:color="auto"/>
            </w:tcBorders>
            <w:shd w:val="clear" w:color="000000" w:fill="FFFFFF"/>
            <w:noWrap/>
            <w:vAlign w:val="center"/>
            <w:hideMark/>
          </w:tcPr>
          <w:p w14:paraId="310217D4" w14:textId="5762F73D" w:rsidR="00553E10" w:rsidRPr="00312485" w:rsidRDefault="00553E10" w:rsidP="00553E10">
            <w:pPr>
              <w:ind w:firstLine="0"/>
              <w:jc w:val="center"/>
              <w:rPr>
                <w:bCs/>
                <w:sz w:val="16"/>
                <w:szCs w:val="16"/>
                <w:lang w:val="ro-MD"/>
              </w:rPr>
            </w:pPr>
            <w:r w:rsidRPr="00312485">
              <w:rPr>
                <w:bCs/>
                <w:sz w:val="16"/>
                <w:szCs w:val="16"/>
                <w:lang w:val="ro-MD"/>
              </w:rPr>
              <w:t>132,3</w:t>
            </w:r>
          </w:p>
        </w:tc>
        <w:tc>
          <w:tcPr>
            <w:tcW w:w="696" w:type="dxa"/>
            <w:tcBorders>
              <w:top w:val="nil"/>
              <w:left w:val="nil"/>
              <w:bottom w:val="single" w:sz="4" w:space="0" w:color="auto"/>
              <w:right w:val="single" w:sz="8" w:space="0" w:color="auto"/>
            </w:tcBorders>
            <w:shd w:val="clear" w:color="000000" w:fill="FFFFFF"/>
            <w:noWrap/>
            <w:vAlign w:val="center"/>
            <w:hideMark/>
          </w:tcPr>
          <w:p w14:paraId="3858F2BD" w14:textId="301FB4E2" w:rsidR="00553E10" w:rsidRPr="00312485" w:rsidRDefault="00553E10" w:rsidP="00553E10">
            <w:pPr>
              <w:ind w:firstLine="0"/>
              <w:jc w:val="center"/>
              <w:rPr>
                <w:bCs/>
                <w:sz w:val="16"/>
                <w:szCs w:val="16"/>
                <w:lang w:val="ro-MD"/>
              </w:rPr>
            </w:pPr>
            <w:r w:rsidRPr="00312485">
              <w:rPr>
                <w:bCs/>
                <w:sz w:val="16"/>
                <w:szCs w:val="16"/>
                <w:lang w:val="ro-MD"/>
              </w:rPr>
              <w:t>140,4</w:t>
            </w:r>
          </w:p>
        </w:tc>
        <w:tc>
          <w:tcPr>
            <w:tcW w:w="856" w:type="dxa"/>
            <w:tcBorders>
              <w:top w:val="nil"/>
              <w:left w:val="nil"/>
              <w:bottom w:val="single" w:sz="4" w:space="0" w:color="auto"/>
              <w:right w:val="single" w:sz="4" w:space="0" w:color="auto"/>
            </w:tcBorders>
            <w:shd w:val="clear" w:color="auto" w:fill="auto"/>
            <w:noWrap/>
            <w:vAlign w:val="center"/>
            <w:hideMark/>
          </w:tcPr>
          <w:p w14:paraId="47650484" w14:textId="50B03B0E" w:rsidR="00553E10" w:rsidRPr="00312485" w:rsidRDefault="00553E10" w:rsidP="00014C4B">
            <w:pPr>
              <w:ind w:firstLine="0"/>
              <w:jc w:val="center"/>
              <w:rPr>
                <w:bCs/>
                <w:color w:val="000000"/>
                <w:sz w:val="16"/>
                <w:szCs w:val="16"/>
                <w:lang w:val="ro-MD"/>
              </w:rPr>
            </w:pPr>
            <w:r w:rsidRPr="00312485">
              <w:rPr>
                <w:bCs/>
                <w:color w:val="000000"/>
                <w:sz w:val="16"/>
                <w:szCs w:val="16"/>
                <w:lang w:val="ro-MD"/>
              </w:rPr>
              <w:t>56</w:t>
            </w:r>
            <w:r w:rsidR="00014C4B" w:rsidRPr="00312485">
              <w:rPr>
                <w:bCs/>
                <w:color w:val="000000"/>
                <w:sz w:val="16"/>
                <w:szCs w:val="16"/>
                <w:lang w:val="ro-MD"/>
              </w:rPr>
              <w:t xml:space="preserve"> </w:t>
            </w:r>
            <w:r w:rsidRPr="00312485">
              <w:rPr>
                <w:bCs/>
                <w:color w:val="000000"/>
                <w:sz w:val="16"/>
                <w:szCs w:val="16"/>
                <w:lang w:val="ro-MD"/>
              </w:rPr>
              <w:t>630,6</w:t>
            </w:r>
          </w:p>
        </w:tc>
        <w:tc>
          <w:tcPr>
            <w:tcW w:w="856" w:type="dxa"/>
            <w:tcBorders>
              <w:top w:val="nil"/>
              <w:left w:val="nil"/>
              <w:bottom w:val="single" w:sz="4" w:space="0" w:color="auto"/>
              <w:right w:val="single" w:sz="4" w:space="0" w:color="auto"/>
            </w:tcBorders>
            <w:shd w:val="clear" w:color="auto" w:fill="auto"/>
            <w:noWrap/>
            <w:vAlign w:val="center"/>
            <w:hideMark/>
          </w:tcPr>
          <w:p w14:paraId="096B1D37" w14:textId="74C5E76C" w:rsidR="00553E10" w:rsidRPr="00312485" w:rsidRDefault="00553E10" w:rsidP="00014C4B">
            <w:pPr>
              <w:ind w:firstLine="0"/>
              <w:jc w:val="center"/>
              <w:rPr>
                <w:bCs/>
                <w:color w:val="000000"/>
                <w:sz w:val="16"/>
                <w:szCs w:val="16"/>
                <w:lang w:val="ro-MD"/>
              </w:rPr>
            </w:pPr>
            <w:r w:rsidRPr="00312485">
              <w:rPr>
                <w:bCs/>
                <w:color w:val="000000"/>
                <w:sz w:val="16"/>
                <w:szCs w:val="16"/>
                <w:lang w:val="ro-MD"/>
              </w:rPr>
              <w:t>61</w:t>
            </w:r>
            <w:r w:rsidR="00014C4B" w:rsidRPr="00312485">
              <w:rPr>
                <w:bCs/>
                <w:color w:val="000000"/>
                <w:sz w:val="16"/>
                <w:szCs w:val="16"/>
                <w:lang w:val="ro-MD"/>
              </w:rPr>
              <w:t xml:space="preserve"> </w:t>
            </w:r>
            <w:r w:rsidRPr="00312485">
              <w:rPr>
                <w:bCs/>
                <w:color w:val="000000"/>
                <w:sz w:val="16"/>
                <w:szCs w:val="16"/>
                <w:lang w:val="ro-MD"/>
              </w:rPr>
              <w:t>187,3</w:t>
            </w:r>
          </w:p>
        </w:tc>
        <w:tc>
          <w:tcPr>
            <w:tcW w:w="856" w:type="dxa"/>
            <w:tcBorders>
              <w:top w:val="nil"/>
              <w:left w:val="nil"/>
              <w:bottom w:val="single" w:sz="4" w:space="0" w:color="auto"/>
              <w:right w:val="single" w:sz="8" w:space="0" w:color="auto"/>
            </w:tcBorders>
            <w:shd w:val="clear" w:color="auto" w:fill="auto"/>
            <w:noWrap/>
            <w:vAlign w:val="center"/>
            <w:hideMark/>
          </w:tcPr>
          <w:p w14:paraId="6D4C719D" w14:textId="67CD5919" w:rsidR="00553E10" w:rsidRPr="00312485" w:rsidRDefault="00553E10" w:rsidP="00014C4B">
            <w:pPr>
              <w:ind w:firstLine="0"/>
              <w:jc w:val="center"/>
              <w:rPr>
                <w:bCs/>
                <w:color w:val="000000"/>
                <w:sz w:val="16"/>
                <w:szCs w:val="16"/>
                <w:lang w:val="ro-MD"/>
              </w:rPr>
            </w:pPr>
            <w:r w:rsidRPr="00312485">
              <w:rPr>
                <w:bCs/>
                <w:color w:val="000000"/>
                <w:sz w:val="16"/>
                <w:szCs w:val="16"/>
                <w:lang w:val="ro-MD"/>
              </w:rPr>
              <w:t>66</w:t>
            </w:r>
            <w:r w:rsidR="00014C4B" w:rsidRPr="00312485">
              <w:rPr>
                <w:bCs/>
                <w:color w:val="000000"/>
                <w:sz w:val="16"/>
                <w:szCs w:val="16"/>
                <w:lang w:val="ro-MD"/>
              </w:rPr>
              <w:t xml:space="preserve"> </w:t>
            </w:r>
            <w:r w:rsidRPr="00312485">
              <w:rPr>
                <w:bCs/>
                <w:color w:val="000000"/>
                <w:sz w:val="16"/>
                <w:szCs w:val="16"/>
                <w:lang w:val="ro-MD"/>
              </w:rPr>
              <w:t>269,5</w:t>
            </w:r>
          </w:p>
        </w:tc>
      </w:tr>
      <w:tr w:rsidR="00553E10" w:rsidRPr="00312485" w14:paraId="6E40DEBF"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6F1F44A3"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 xml:space="preserve">  Taxa pe valoarea adăugată </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1D990FF6" w14:textId="3D1FC82E" w:rsidR="00553E10" w:rsidRPr="00312485" w:rsidRDefault="00553E10" w:rsidP="00014C4B">
            <w:pPr>
              <w:ind w:firstLine="0"/>
              <w:jc w:val="center"/>
              <w:rPr>
                <w:bCs/>
                <w:sz w:val="16"/>
                <w:szCs w:val="16"/>
                <w:lang w:val="ro-MD"/>
              </w:rPr>
            </w:pPr>
            <w:r w:rsidRPr="00312485">
              <w:rPr>
                <w:bCs/>
                <w:sz w:val="16"/>
                <w:szCs w:val="16"/>
                <w:lang w:val="ro-MD"/>
              </w:rPr>
              <w:t>40</w:t>
            </w:r>
            <w:r w:rsidR="00014C4B" w:rsidRPr="00312485">
              <w:rPr>
                <w:bCs/>
                <w:sz w:val="16"/>
                <w:szCs w:val="16"/>
                <w:lang w:val="ro-MD"/>
              </w:rPr>
              <w:t xml:space="preserve"> </w:t>
            </w:r>
            <w:r w:rsidRPr="00312485">
              <w:rPr>
                <w:bCs/>
                <w:sz w:val="16"/>
                <w:szCs w:val="16"/>
                <w:lang w:val="ro-MD"/>
              </w:rPr>
              <w:t>570,0</w:t>
            </w:r>
          </w:p>
        </w:tc>
        <w:tc>
          <w:tcPr>
            <w:tcW w:w="856" w:type="dxa"/>
            <w:tcBorders>
              <w:top w:val="nil"/>
              <w:left w:val="nil"/>
              <w:bottom w:val="single" w:sz="4" w:space="0" w:color="auto"/>
              <w:right w:val="single" w:sz="4" w:space="0" w:color="auto"/>
            </w:tcBorders>
            <w:shd w:val="clear" w:color="000000" w:fill="FFFFFF"/>
            <w:noWrap/>
            <w:vAlign w:val="center"/>
            <w:hideMark/>
          </w:tcPr>
          <w:p w14:paraId="140615D4" w14:textId="0BDC811A" w:rsidR="00553E10" w:rsidRPr="00312485" w:rsidRDefault="00553E10" w:rsidP="00014C4B">
            <w:pPr>
              <w:ind w:firstLine="0"/>
              <w:jc w:val="center"/>
              <w:rPr>
                <w:bCs/>
                <w:sz w:val="16"/>
                <w:szCs w:val="16"/>
                <w:lang w:val="ro-MD"/>
              </w:rPr>
            </w:pPr>
            <w:r w:rsidRPr="00312485">
              <w:rPr>
                <w:bCs/>
                <w:sz w:val="16"/>
                <w:szCs w:val="16"/>
                <w:lang w:val="ro-MD"/>
              </w:rPr>
              <w:t>43</w:t>
            </w:r>
            <w:r w:rsidR="00014C4B" w:rsidRPr="00312485">
              <w:rPr>
                <w:bCs/>
                <w:sz w:val="16"/>
                <w:szCs w:val="16"/>
                <w:lang w:val="ro-MD"/>
              </w:rPr>
              <w:t xml:space="preserve"> </w:t>
            </w:r>
            <w:r w:rsidRPr="00312485">
              <w:rPr>
                <w:bCs/>
                <w:sz w:val="16"/>
                <w:szCs w:val="16"/>
                <w:lang w:val="ro-MD"/>
              </w:rPr>
              <w:t>837,0</w:t>
            </w:r>
          </w:p>
        </w:tc>
        <w:tc>
          <w:tcPr>
            <w:tcW w:w="856" w:type="dxa"/>
            <w:tcBorders>
              <w:top w:val="nil"/>
              <w:left w:val="nil"/>
              <w:bottom w:val="single" w:sz="4" w:space="0" w:color="auto"/>
              <w:right w:val="single" w:sz="8" w:space="0" w:color="auto"/>
            </w:tcBorders>
            <w:shd w:val="clear" w:color="000000" w:fill="FFFFFF"/>
            <w:noWrap/>
            <w:vAlign w:val="center"/>
            <w:hideMark/>
          </w:tcPr>
          <w:p w14:paraId="4880281A" w14:textId="6FE26A58" w:rsidR="00553E10" w:rsidRPr="00312485" w:rsidRDefault="00553E10" w:rsidP="00014C4B">
            <w:pPr>
              <w:ind w:firstLine="0"/>
              <w:jc w:val="center"/>
              <w:rPr>
                <w:bCs/>
                <w:sz w:val="16"/>
                <w:szCs w:val="16"/>
                <w:lang w:val="ro-MD"/>
              </w:rPr>
            </w:pPr>
            <w:r w:rsidRPr="00312485">
              <w:rPr>
                <w:bCs/>
                <w:sz w:val="16"/>
                <w:szCs w:val="16"/>
                <w:lang w:val="ro-MD"/>
              </w:rPr>
              <w:t>47</w:t>
            </w:r>
            <w:r w:rsidR="00014C4B" w:rsidRPr="00312485">
              <w:rPr>
                <w:bCs/>
                <w:sz w:val="16"/>
                <w:szCs w:val="16"/>
                <w:lang w:val="ro-MD"/>
              </w:rPr>
              <w:t xml:space="preserve"> </w:t>
            </w:r>
            <w:r w:rsidRPr="00312485">
              <w:rPr>
                <w:bCs/>
                <w:sz w:val="16"/>
                <w:szCs w:val="16"/>
                <w:lang w:val="ro-MD"/>
              </w:rPr>
              <w:t>600,0</w:t>
            </w:r>
          </w:p>
        </w:tc>
        <w:tc>
          <w:tcPr>
            <w:tcW w:w="576" w:type="dxa"/>
            <w:tcBorders>
              <w:top w:val="nil"/>
              <w:left w:val="nil"/>
              <w:bottom w:val="single" w:sz="4" w:space="0" w:color="auto"/>
              <w:right w:val="single" w:sz="4" w:space="0" w:color="auto"/>
            </w:tcBorders>
            <w:shd w:val="clear" w:color="000000" w:fill="FFFFFF"/>
            <w:noWrap/>
            <w:vAlign w:val="center"/>
            <w:hideMark/>
          </w:tcPr>
          <w:p w14:paraId="778F4F39" w14:textId="3DCC546C" w:rsidR="00553E10" w:rsidRPr="00312485" w:rsidRDefault="00553E10" w:rsidP="00553E10">
            <w:pPr>
              <w:ind w:firstLine="0"/>
              <w:jc w:val="center"/>
              <w:rPr>
                <w:bCs/>
                <w:sz w:val="16"/>
                <w:szCs w:val="16"/>
                <w:lang w:val="ro-MD"/>
              </w:rPr>
            </w:pPr>
            <w:r w:rsidRPr="00312485">
              <w:rPr>
                <w:bCs/>
                <w:sz w:val="16"/>
                <w:szCs w:val="16"/>
                <w:lang w:val="ro-MD"/>
              </w:rPr>
              <w:t>97,4</w:t>
            </w:r>
          </w:p>
        </w:tc>
        <w:tc>
          <w:tcPr>
            <w:tcW w:w="696" w:type="dxa"/>
            <w:tcBorders>
              <w:top w:val="nil"/>
              <w:left w:val="nil"/>
              <w:bottom w:val="single" w:sz="4" w:space="0" w:color="auto"/>
              <w:right w:val="single" w:sz="4" w:space="0" w:color="auto"/>
            </w:tcBorders>
            <w:shd w:val="clear" w:color="000000" w:fill="FFFFFF"/>
            <w:noWrap/>
            <w:vAlign w:val="center"/>
            <w:hideMark/>
          </w:tcPr>
          <w:p w14:paraId="4FDF3F7B" w14:textId="4EABEBDA" w:rsidR="00553E10" w:rsidRPr="00312485" w:rsidRDefault="00553E10" w:rsidP="00553E10">
            <w:pPr>
              <w:ind w:firstLine="0"/>
              <w:jc w:val="center"/>
              <w:rPr>
                <w:bCs/>
                <w:sz w:val="16"/>
                <w:szCs w:val="16"/>
                <w:lang w:val="ro-MD"/>
              </w:rPr>
            </w:pPr>
            <w:r w:rsidRPr="00312485">
              <w:rPr>
                <w:bCs/>
                <w:sz w:val="16"/>
                <w:szCs w:val="16"/>
                <w:lang w:val="ro-MD"/>
              </w:rPr>
              <w:t>105,4</w:t>
            </w:r>
          </w:p>
        </w:tc>
        <w:tc>
          <w:tcPr>
            <w:tcW w:w="696" w:type="dxa"/>
            <w:tcBorders>
              <w:top w:val="nil"/>
              <w:left w:val="nil"/>
              <w:bottom w:val="single" w:sz="4" w:space="0" w:color="auto"/>
              <w:right w:val="single" w:sz="8" w:space="0" w:color="auto"/>
            </w:tcBorders>
            <w:shd w:val="clear" w:color="000000" w:fill="FFFFFF"/>
            <w:noWrap/>
            <w:vAlign w:val="center"/>
            <w:hideMark/>
          </w:tcPr>
          <w:p w14:paraId="4293429A" w14:textId="4206C7FF" w:rsidR="00553E10" w:rsidRPr="00312485" w:rsidRDefault="00553E10" w:rsidP="00553E10">
            <w:pPr>
              <w:ind w:firstLine="0"/>
              <w:jc w:val="center"/>
              <w:rPr>
                <w:bCs/>
                <w:sz w:val="16"/>
                <w:szCs w:val="16"/>
                <w:lang w:val="ro-MD"/>
              </w:rPr>
            </w:pPr>
            <w:r w:rsidRPr="00312485">
              <w:rPr>
                <w:bCs/>
                <w:sz w:val="16"/>
                <w:szCs w:val="16"/>
                <w:lang w:val="ro-MD"/>
              </w:rPr>
              <w:t>112,9</w:t>
            </w:r>
          </w:p>
        </w:tc>
        <w:tc>
          <w:tcPr>
            <w:tcW w:w="856" w:type="dxa"/>
            <w:tcBorders>
              <w:top w:val="nil"/>
              <w:left w:val="nil"/>
              <w:bottom w:val="single" w:sz="4" w:space="0" w:color="auto"/>
              <w:right w:val="single" w:sz="4" w:space="0" w:color="auto"/>
            </w:tcBorders>
            <w:shd w:val="clear" w:color="auto" w:fill="auto"/>
            <w:noWrap/>
            <w:vAlign w:val="center"/>
            <w:hideMark/>
          </w:tcPr>
          <w:p w14:paraId="266EDD85" w14:textId="3F7916CB" w:rsidR="00553E10" w:rsidRPr="00312485" w:rsidRDefault="00553E10" w:rsidP="00014C4B">
            <w:pPr>
              <w:ind w:firstLine="0"/>
              <w:jc w:val="center"/>
              <w:rPr>
                <w:bCs/>
                <w:color w:val="000000"/>
                <w:sz w:val="16"/>
                <w:szCs w:val="16"/>
                <w:lang w:val="ro-MD"/>
              </w:rPr>
            </w:pPr>
            <w:r w:rsidRPr="00312485">
              <w:rPr>
                <w:bCs/>
                <w:color w:val="000000"/>
                <w:sz w:val="16"/>
                <w:szCs w:val="16"/>
                <w:lang w:val="ro-MD"/>
              </w:rPr>
              <w:t>40</w:t>
            </w:r>
            <w:r w:rsidR="00014C4B" w:rsidRPr="00312485">
              <w:rPr>
                <w:bCs/>
                <w:color w:val="000000"/>
                <w:sz w:val="16"/>
                <w:szCs w:val="16"/>
                <w:lang w:val="ro-MD"/>
              </w:rPr>
              <w:t xml:space="preserve"> </w:t>
            </w:r>
            <w:r w:rsidRPr="00312485">
              <w:rPr>
                <w:bCs/>
                <w:color w:val="000000"/>
                <w:sz w:val="16"/>
                <w:szCs w:val="16"/>
                <w:lang w:val="ro-MD"/>
              </w:rPr>
              <w:t>667,4</w:t>
            </w:r>
          </w:p>
        </w:tc>
        <w:tc>
          <w:tcPr>
            <w:tcW w:w="856" w:type="dxa"/>
            <w:tcBorders>
              <w:top w:val="nil"/>
              <w:left w:val="nil"/>
              <w:bottom w:val="single" w:sz="4" w:space="0" w:color="auto"/>
              <w:right w:val="single" w:sz="4" w:space="0" w:color="auto"/>
            </w:tcBorders>
            <w:shd w:val="clear" w:color="auto" w:fill="auto"/>
            <w:noWrap/>
            <w:vAlign w:val="center"/>
            <w:hideMark/>
          </w:tcPr>
          <w:p w14:paraId="06350D6A" w14:textId="4963F590" w:rsidR="00553E10" w:rsidRPr="00312485" w:rsidRDefault="00553E10" w:rsidP="00014C4B">
            <w:pPr>
              <w:ind w:firstLine="0"/>
              <w:jc w:val="center"/>
              <w:rPr>
                <w:bCs/>
                <w:color w:val="000000"/>
                <w:sz w:val="16"/>
                <w:szCs w:val="16"/>
                <w:lang w:val="ro-MD"/>
              </w:rPr>
            </w:pPr>
            <w:r w:rsidRPr="00312485">
              <w:rPr>
                <w:bCs/>
                <w:color w:val="000000"/>
                <w:sz w:val="16"/>
                <w:szCs w:val="16"/>
                <w:lang w:val="ro-MD"/>
              </w:rPr>
              <w:t>43</w:t>
            </w:r>
            <w:r w:rsidR="00014C4B" w:rsidRPr="00312485">
              <w:rPr>
                <w:bCs/>
                <w:color w:val="000000"/>
                <w:sz w:val="16"/>
                <w:szCs w:val="16"/>
                <w:lang w:val="ro-MD"/>
              </w:rPr>
              <w:t xml:space="preserve"> </w:t>
            </w:r>
            <w:r w:rsidRPr="00312485">
              <w:rPr>
                <w:bCs/>
                <w:color w:val="000000"/>
                <w:sz w:val="16"/>
                <w:szCs w:val="16"/>
                <w:lang w:val="ro-MD"/>
              </w:rPr>
              <w:t>942,4</w:t>
            </w:r>
          </w:p>
        </w:tc>
        <w:tc>
          <w:tcPr>
            <w:tcW w:w="856" w:type="dxa"/>
            <w:tcBorders>
              <w:top w:val="nil"/>
              <w:left w:val="nil"/>
              <w:bottom w:val="single" w:sz="4" w:space="0" w:color="auto"/>
              <w:right w:val="single" w:sz="8" w:space="0" w:color="auto"/>
            </w:tcBorders>
            <w:shd w:val="clear" w:color="auto" w:fill="auto"/>
            <w:noWrap/>
            <w:vAlign w:val="center"/>
            <w:hideMark/>
          </w:tcPr>
          <w:p w14:paraId="3C5043AC" w14:textId="7EF84B30" w:rsidR="00553E10" w:rsidRPr="00312485" w:rsidRDefault="00553E10" w:rsidP="00014C4B">
            <w:pPr>
              <w:ind w:firstLine="0"/>
              <w:jc w:val="center"/>
              <w:rPr>
                <w:bCs/>
                <w:color w:val="000000"/>
                <w:sz w:val="16"/>
                <w:szCs w:val="16"/>
                <w:lang w:val="ro-MD"/>
              </w:rPr>
            </w:pPr>
            <w:r w:rsidRPr="00312485">
              <w:rPr>
                <w:bCs/>
                <w:color w:val="000000"/>
                <w:sz w:val="16"/>
                <w:szCs w:val="16"/>
                <w:lang w:val="ro-MD"/>
              </w:rPr>
              <w:t>47</w:t>
            </w:r>
            <w:r w:rsidR="00014C4B" w:rsidRPr="00312485">
              <w:rPr>
                <w:bCs/>
                <w:color w:val="000000"/>
                <w:sz w:val="16"/>
                <w:szCs w:val="16"/>
                <w:lang w:val="ro-MD"/>
              </w:rPr>
              <w:t xml:space="preserve"> </w:t>
            </w:r>
            <w:r w:rsidRPr="00312485">
              <w:rPr>
                <w:bCs/>
                <w:color w:val="000000"/>
                <w:sz w:val="16"/>
                <w:szCs w:val="16"/>
                <w:lang w:val="ro-MD"/>
              </w:rPr>
              <w:t>712,9</w:t>
            </w:r>
          </w:p>
        </w:tc>
      </w:tr>
      <w:tr w:rsidR="00553E10" w:rsidRPr="00312485" w14:paraId="3F1AEF6C" w14:textId="77777777" w:rsidTr="00553E10">
        <w:trPr>
          <w:trHeight w:val="267"/>
        </w:trPr>
        <w:tc>
          <w:tcPr>
            <w:tcW w:w="2258" w:type="dxa"/>
            <w:tcBorders>
              <w:top w:val="nil"/>
              <w:left w:val="single" w:sz="8" w:space="0" w:color="auto"/>
              <w:bottom w:val="single" w:sz="4" w:space="0" w:color="auto"/>
              <w:right w:val="nil"/>
            </w:tcBorders>
            <w:shd w:val="clear" w:color="auto" w:fill="auto"/>
            <w:vAlign w:val="center"/>
            <w:hideMark/>
          </w:tcPr>
          <w:p w14:paraId="49AE273E"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 xml:space="preserve">  Accize</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3924580E" w14:textId="1AED8E35" w:rsidR="00553E10" w:rsidRPr="00312485" w:rsidRDefault="00553E10" w:rsidP="00014C4B">
            <w:pPr>
              <w:ind w:firstLine="0"/>
              <w:jc w:val="center"/>
              <w:rPr>
                <w:bCs/>
                <w:sz w:val="16"/>
                <w:szCs w:val="16"/>
                <w:lang w:val="ro-MD"/>
              </w:rPr>
            </w:pPr>
            <w:r w:rsidRPr="00312485">
              <w:rPr>
                <w:bCs/>
                <w:sz w:val="16"/>
                <w:szCs w:val="16"/>
                <w:lang w:val="ro-MD"/>
              </w:rPr>
              <w:t>13</w:t>
            </w:r>
            <w:r w:rsidR="00014C4B" w:rsidRPr="00312485">
              <w:rPr>
                <w:bCs/>
                <w:sz w:val="16"/>
                <w:szCs w:val="16"/>
                <w:lang w:val="ro-MD"/>
              </w:rPr>
              <w:t xml:space="preserve"> </w:t>
            </w:r>
            <w:r w:rsidRPr="00312485">
              <w:rPr>
                <w:bCs/>
                <w:sz w:val="16"/>
                <w:szCs w:val="16"/>
                <w:lang w:val="ro-MD"/>
              </w:rPr>
              <w:t>465,1</w:t>
            </w:r>
          </w:p>
        </w:tc>
        <w:tc>
          <w:tcPr>
            <w:tcW w:w="856" w:type="dxa"/>
            <w:tcBorders>
              <w:top w:val="nil"/>
              <w:left w:val="nil"/>
              <w:bottom w:val="single" w:sz="4" w:space="0" w:color="auto"/>
              <w:right w:val="single" w:sz="4" w:space="0" w:color="auto"/>
            </w:tcBorders>
            <w:shd w:val="clear" w:color="000000" w:fill="FFFFFF"/>
            <w:noWrap/>
            <w:vAlign w:val="center"/>
            <w:hideMark/>
          </w:tcPr>
          <w:p w14:paraId="4252E575" w14:textId="1042B8AE" w:rsidR="00553E10" w:rsidRPr="00312485" w:rsidRDefault="00553E10" w:rsidP="00014C4B">
            <w:pPr>
              <w:ind w:firstLine="0"/>
              <w:jc w:val="center"/>
              <w:rPr>
                <w:bCs/>
                <w:sz w:val="16"/>
                <w:szCs w:val="16"/>
                <w:lang w:val="ro-MD"/>
              </w:rPr>
            </w:pPr>
            <w:r w:rsidRPr="00312485">
              <w:rPr>
                <w:bCs/>
                <w:sz w:val="16"/>
                <w:szCs w:val="16"/>
                <w:lang w:val="ro-MD"/>
              </w:rPr>
              <w:t>14</w:t>
            </w:r>
            <w:r w:rsidR="00014C4B" w:rsidRPr="00312485">
              <w:rPr>
                <w:bCs/>
                <w:sz w:val="16"/>
                <w:szCs w:val="16"/>
                <w:lang w:val="ro-MD"/>
              </w:rPr>
              <w:t xml:space="preserve"> </w:t>
            </w:r>
            <w:r w:rsidRPr="00312485">
              <w:rPr>
                <w:bCs/>
                <w:sz w:val="16"/>
                <w:szCs w:val="16"/>
                <w:lang w:val="ro-MD"/>
              </w:rPr>
              <w:t>600,0</w:t>
            </w:r>
          </w:p>
        </w:tc>
        <w:tc>
          <w:tcPr>
            <w:tcW w:w="856" w:type="dxa"/>
            <w:tcBorders>
              <w:top w:val="nil"/>
              <w:left w:val="nil"/>
              <w:bottom w:val="single" w:sz="4" w:space="0" w:color="auto"/>
              <w:right w:val="single" w:sz="8" w:space="0" w:color="auto"/>
            </w:tcBorders>
            <w:shd w:val="clear" w:color="000000" w:fill="FFFFFF"/>
            <w:noWrap/>
            <w:vAlign w:val="center"/>
            <w:hideMark/>
          </w:tcPr>
          <w:p w14:paraId="01398137" w14:textId="2312B540" w:rsidR="00553E10" w:rsidRPr="00312485" w:rsidRDefault="00553E10" w:rsidP="00014C4B">
            <w:pPr>
              <w:ind w:firstLine="0"/>
              <w:jc w:val="center"/>
              <w:rPr>
                <w:bCs/>
                <w:sz w:val="16"/>
                <w:szCs w:val="16"/>
                <w:lang w:val="ro-MD"/>
              </w:rPr>
            </w:pPr>
            <w:r w:rsidRPr="00312485">
              <w:rPr>
                <w:bCs/>
                <w:sz w:val="16"/>
                <w:szCs w:val="16"/>
                <w:lang w:val="ro-MD"/>
              </w:rPr>
              <w:t>15</w:t>
            </w:r>
            <w:r w:rsidR="00014C4B" w:rsidRPr="00312485">
              <w:rPr>
                <w:bCs/>
                <w:sz w:val="16"/>
                <w:szCs w:val="16"/>
                <w:lang w:val="ro-MD"/>
              </w:rPr>
              <w:t xml:space="preserve"> </w:t>
            </w:r>
            <w:r w:rsidRPr="00312485">
              <w:rPr>
                <w:bCs/>
                <w:sz w:val="16"/>
                <w:szCs w:val="16"/>
                <w:lang w:val="ro-MD"/>
              </w:rPr>
              <w:t>818,9</w:t>
            </w:r>
          </w:p>
        </w:tc>
        <w:tc>
          <w:tcPr>
            <w:tcW w:w="576" w:type="dxa"/>
            <w:tcBorders>
              <w:top w:val="nil"/>
              <w:left w:val="nil"/>
              <w:bottom w:val="single" w:sz="4" w:space="0" w:color="auto"/>
              <w:right w:val="single" w:sz="4" w:space="0" w:color="auto"/>
            </w:tcBorders>
            <w:shd w:val="clear" w:color="000000" w:fill="FFFFFF"/>
            <w:noWrap/>
            <w:vAlign w:val="center"/>
            <w:hideMark/>
          </w:tcPr>
          <w:p w14:paraId="161EC7F1" w14:textId="602C005F" w:rsidR="00553E10" w:rsidRPr="00312485" w:rsidRDefault="00553E10" w:rsidP="00553E10">
            <w:pPr>
              <w:ind w:firstLine="0"/>
              <w:jc w:val="center"/>
              <w:rPr>
                <w:bCs/>
                <w:sz w:val="16"/>
                <w:szCs w:val="16"/>
                <w:lang w:val="ro-MD"/>
              </w:rPr>
            </w:pPr>
            <w:r w:rsidRPr="00312485">
              <w:rPr>
                <w:bCs/>
                <w:sz w:val="16"/>
                <w:szCs w:val="16"/>
                <w:lang w:val="ro-MD"/>
              </w:rPr>
              <w:t>1,4</w:t>
            </w:r>
          </w:p>
        </w:tc>
        <w:tc>
          <w:tcPr>
            <w:tcW w:w="696" w:type="dxa"/>
            <w:tcBorders>
              <w:top w:val="nil"/>
              <w:left w:val="nil"/>
              <w:bottom w:val="single" w:sz="4" w:space="0" w:color="auto"/>
              <w:right w:val="single" w:sz="4" w:space="0" w:color="auto"/>
            </w:tcBorders>
            <w:shd w:val="clear" w:color="000000" w:fill="FFFFFF"/>
            <w:noWrap/>
            <w:vAlign w:val="center"/>
            <w:hideMark/>
          </w:tcPr>
          <w:p w14:paraId="35E91B6E" w14:textId="78794416" w:rsidR="00553E10" w:rsidRPr="00312485" w:rsidRDefault="00553E10" w:rsidP="00553E10">
            <w:pPr>
              <w:ind w:firstLine="0"/>
              <w:jc w:val="center"/>
              <w:rPr>
                <w:bCs/>
                <w:sz w:val="16"/>
                <w:szCs w:val="16"/>
                <w:lang w:val="ro-MD"/>
              </w:rPr>
            </w:pPr>
            <w:r w:rsidRPr="00312485">
              <w:rPr>
                <w:bCs/>
                <w:sz w:val="16"/>
                <w:szCs w:val="16"/>
                <w:lang w:val="ro-MD"/>
              </w:rPr>
              <w:t>1,5</w:t>
            </w:r>
          </w:p>
        </w:tc>
        <w:tc>
          <w:tcPr>
            <w:tcW w:w="696" w:type="dxa"/>
            <w:tcBorders>
              <w:top w:val="nil"/>
              <w:left w:val="nil"/>
              <w:bottom w:val="single" w:sz="4" w:space="0" w:color="auto"/>
              <w:right w:val="single" w:sz="8" w:space="0" w:color="auto"/>
            </w:tcBorders>
            <w:shd w:val="clear" w:color="000000" w:fill="FFFFFF"/>
            <w:noWrap/>
            <w:vAlign w:val="center"/>
            <w:hideMark/>
          </w:tcPr>
          <w:p w14:paraId="4ACE16C0" w14:textId="36590869" w:rsidR="00553E10" w:rsidRPr="00312485" w:rsidRDefault="00553E10" w:rsidP="00553E10">
            <w:pPr>
              <w:ind w:firstLine="0"/>
              <w:jc w:val="center"/>
              <w:rPr>
                <w:bCs/>
                <w:sz w:val="16"/>
                <w:szCs w:val="16"/>
                <w:lang w:val="ro-MD"/>
              </w:rPr>
            </w:pPr>
            <w:r w:rsidRPr="00312485">
              <w:rPr>
                <w:bCs/>
                <w:sz w:val="16"/>
                <w:szCs w:val="16"/>
                <w:lang w:val="ro-MD"/>
              </w:rPr>
              <w:t>1,6</w:t>
            </w:r>
          </w:p>
        </w:tc>
        <w:tc>
          <w:tcPr>
            <w:tcW w:w="856" w:type="dxa"/>
            <w:tcBorders>
              <w:top w:val="nil"/>
              <w:left w:val="nil"/>
              <w:bottom w:val="single" w:sz="4" w:space="0" w:color="auto"/>
              <w:right w:val="single" w:sz="4" w:space="0" w:color="auto"/>
            </w:tcBorders>
            <w:shd w:val="clear" w:color="auto" w:fill="auto"/>
            <w:noWrap/>
            <w:vAlign w:val="center"/>
            <w:hideMark/>
          </w:tcPr>
          <w:p w14:paraId="5F4BA65B" w14:textId="5F3B4B33" w:rsidR="00553E10" w:rsidRPr="00312485" w:rsidRDefault="00553E10" w:rsidP="00014C4B">
            <w:pPr>
              <w:ind w:firstLine="0"/>
              <w:jc w:val="center"/>
              <w:rPr>
                <w:bCs/>
                <w:color w:val="000000"/>
                <w:sz w:val="16"/>
                <w:szCs w:val="16"/>
                <w:lang w:val="ro-MD"/>
              </w:rPr>
            </w:pPr>
            <w:r w:rsidRPr="00312485">
              <w:rPr>
                <w:bCs/>
                <w:color w:val="000000"/>
                <w:sz w:val="16"/>
                <w:szCs w:val="16"/>
                <w:lang w:val="ro-MD"/>
              </w:rPr>
              <w:t>13</w:t>
            </w:r>
            <w:r w:rsidR="00014C4B" w:rsidRPr="00312485">
              <w:rPr>
                <w:bCs/>
                <w:color w:val="000000"/>
                <w:sz w:val="16"/>
                <w:szCs w:val="16"/>
                <w:lang w:val="ro-MD"/>
              </w:rPr>
              <w:t xml:space="preserve"> </w:t>
            </w:r>
            <w:r w:rsidRPr="00312485">
              <w:rPr>
                <w:bCs/>
                <w:color w:val="000000"/>
                <w:sz w:val="16"/>
                <w:szCs w:val="16"/>
                <w:lang w:val="ro-MD"/>
              </w:rPr>
              <w:t>466,5</w:t>
            </w:r>
          </w:p>
        </w:tc>
        <w:tc>
          <w:tcPr>
            <w:tcW w:w="856" w:type="dxa"/>
            <w:tcBorders>
              <w:top w:val="nil"/>
              <w:left w:val="nil"/>
              <w:bottom w:val="single" w:sz="4" w:space="0" w:color="auto"/>
              <w:right w:val="single" w:sz="4" w:space="0" w:color="auto"/>
            </w:tcBorders>
            <w:shd w:val="clear" w:color="auto" w:fill="auto"/>
            <w:noWrap/>
            <w:vAlign w:val="center"/>
            <w:hideMark/>
          </w:tcPr>
          <w:p w14:paraId="7439CC65" w14:textId="0AF08DC4" w:rsidR="00553E10" w:rsidRPr="00312485" w:rsidRDefault="00553E10" w:rsidP="00014C4B">
            <w:pPr>
              <w:ind w:firstLine="0"/>
              <w:jc w:val="center"/>
              <w:rPr>
                <w:bCs/>
                <w:color w:val="000000"/>
                <w:sz w:val="16"/>
                <w:szCs w:val="16"/>
                <w:lang w:val="ro-MD"/>
              </w:rPr>
            </w:pPr>
            <w:r w:rsidRPr="00312485">
              <w:rPr>
                <w:bCs/>
                <w:color w:val="000000"/>
                <w:sz w:val="16"/>
                <w:szCs w:val="16"/>
                <w:lang w:val="ro-MD"/>
              </w:rPr>
              <w:t>14</w:t>
            </w:r>
            <w:r w:rsidR="00014C4B" w:rsidRPr="00312485">
              <w:rPr>
                <w:bCs/>
                <w:color w:val="000000"/>
                <w:sz w:val="16"/>
                <w:szCs w:val="16"/>
                <w:lang w:val="ro-MD"/>
              </w:rPr>
              <w:t xml:space="preserve"> </w:t>
            </w:r>
            <w:r w:rsidRPr="00312485">
              <w:rPr>
                <w:bCs/>
                <w:color w:val="000000"/>
                <w:sz w:val="16"/>
                <w:szCs w:val="16"/>
                <w:lang w:val="ro-MD"/>
              </w:rPr>
              <w:t>601,5</w:t>
            </w:r>
          </w:p>
        </w:tc>
        <w:tc>
          <w:tcPr>
            <w:tcW w:w="856" w:type="dxa"/>
            <w:tcBorders>
              <w:top w:val="nil"/>
              <w:left w:val="nil"/>
              <w:bottom w:val="single" w:sz="4" w:space="0" w:color="auto"/>
              <w:right w:val="single" w:sz="8" w:space="0" w:color="auto"/>
            </w:tcBorders>
            <w:shd w:val="clear" w:color="auto" w:fill="auto"/>
            <w:noWrap/>
            <w:vAlign w:val="center"/>
            <w:hideMark/>
          </w:tcPr>
          <w:p w14:paraId="686328A3" w14:textId="7C957F2D" w:rsidR="00553E10" w:rsidRPr="00312485" w:rsidRDefault="00553E10" w:rsidP="00014C4B">
            <w:pPr>
              <w:ind w:firstLine="0"/>
              <w:jc w:val="center"/>
              <w:rPr>
                <w:bCs/>
                <w:color w:val="000000"/>
                <w:sz w:val="16"/>
                <w:szCs w:val="16"/>
                <w:lang w:val="ro-MD"/>
              </w:rPr>
            </w:pPr>
            <w:r w:rsidRPr="00312485">
              <w:rPr>
                <w:bCs/>
                <w:color w:val="000000"/>
                <w:sz w:val="16"/>
                <w:szCs w:val="16"/>
                <w:lang w:val="ro-MD"/>
              </w:rPr>
              <w:t>15</w:t>
            </w:r>
            <w:r w:rsidR="00014C4B" w:rsidRPr="00312485">
              <w:rPr>
                <w:bCs/>
                <w:color w:val="000000"/>
                <w:sz w:val="16"/>
                <w:szCs w:val="16"/>
                <w:lang w:val="ro-MD"/>
              </w:rPr>
              <w:t xml:space="preserve"> </w:t>
            </w:r>
            <w:r w:rsidRPr="00312485">
              <w:rPr>
                <w:bCs/>
                <w:color w:val="000000"/>
                <w:sz w:val="16"/>
                <w:szCs w:val="16"/>
                <w:lang w:val="ro-MD"/>
              </w:rPr>
              <w:t>820,5</w:t>
            </w:r>
          </w:p>
        </w:tc>
      </w:tr>
      <w:tr w:rsidR="00553E10" w:rsidRPr="00312485" w14:paraId="3709FACE" w14:textId="77777777" w:rsidTr="00553E10">
        <w:trPr>
          <w:trHeight w:val="271"/>
        </w:trPr>
        <w:tc>
          <w:tcPr>
            <w:tcW w:w="2258" w:type="dxa"/>
            <w:tcBorders>
              <w:top w:val="nil"/>
              <w:left w:val="single" w:sz="8" w:space="0" w:color="auto"/>
              <w:bottom w:val="single" w:sz="4" w:space="0" w:color="auto"/>
              <w:right w:val="nil"/>
            </w:tcBorders>
            <w:shd w:val="clear" w:color="auto" w:fill="auto"/>
            <w:vAlign w:val="center"/>
            <w:hideMark/>
          </w:tcPr>
          <w:p w14:paraId="075FE5E5"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Taxa asupra comerțului exterior și operațiunilor externe</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050325A3" w14:textId="67E09332" w:rsidR="00553E10" w:rsidRPr="00312485" w:rsidRDefault="00553E10" w:rsidP="00014C4B">
            <w:pPr>
              <w:ind w:firstLine="0"/>
              <w:jc w:val="center"/>
              <w:rPr>
                <w:bCs/>
                <w:sz w:val="16"/>
                <w:szCs w:val="16"/>
                <w:lang w:val="ro-MD"/>
              </w:rPr>
            </w:pPr>
            <w:r w:rsidRPr="00312485">
              <w:rPr>
                <w:bCs/>
                <w:sz w:val="16"/>
                <w:szCs w:val="16"/>
                <w:lang w:val="ro-MD"/>
              </w:rPr>
              <w:t>3</w:t>
            </w:r>
            <w:r w:rsidR="00014C4B" w:rsidRPr="00312485">
              <w:rPr>
                <w:bCs/>
                <w:sz w:val="16"/>
                <w:szCs w:val="16"/>
                <w:lang w:val="ro-MD"/>
              </w:rPr>
              <w:t xml:space="preserve"> </w:t>
            </w:r>
            <w:r w:rsidRPr="00312485">
              <w:rPr>
                <w:bCs/>
                <w:sz w:val="16"/>
                <w:szCs w:val="16"/>
                <w:lang w:val="ro-MD"/>
              </w:rPr>
              <w:t>038,0</w:t>
            </w:r>
          </w:p>
        </w:tc>
        <w:tc>
          <w:tcPr>
            <w:tcW w:w="856" w:type="dxa"/>
            <w:tcBorders>
              <w:top w:val="nil"/>
              <w:left w:val="nil"/>
              <w:bottom w:val="single" w:sz="4" w:space="0" w:color="auto"/>
              <w:right w:val="single" w:sz="4" w:space="0" w:color="auto"/>
            </w:tcBorders>
            <w:shd w:val="clear" w:color="000000" w:fill="FFFFFF"/>
            <w:noWrap/>
            <w:vAlign w:val="center"/>
            <w:hideMark/>
          </w:tcPr>
          <w:p w14:paraId="64C78E77" w14:textId="27CEC04B" w:rsidR="00553E10" w:rsidRPr="00312485" w:rsidRDefault="00553E10" w:rsidP="00014C4B">
            <w:pPr>
              <w:ind w:firstLine="0"/>
              <w:jc w:val="center"/>
              <w:rPr>
                <w:bCs/>
                <w:sz w:val="16"/>
                <w:szCs w:val="16"/>
                <w:lang w:val="ro-MD"/>
              </w:rPr>
            </w:pPr>
            <w:r w:rsidRPr="00312485">
              <w:rPr>
                <w:bCs/>
                <w:sz w:val="16"/>
                <w:szCs w:val="16"/>
                <w:lang w:val="ro-MD"/>
              </w:rPr>
              <w:t>3</w:t>
            </w:r>
            <w:r w:rsidR="00014C4B" w:rsidRPr="00312485">
              <w:rPr>
                <w:bCs/>
                <w:sz w:val="16"/>
                <w:szCs w:val="16"/>
                <w:lang w:val="ro-MD"/>
              </w:rPr>
              <w:t xml:space="preserve"> </w:t>
            </w:r>
            <w:r w:rsidRPr="00312485">
              <w:rPr>
                <w:bCs/>
                <w:sz w:val="16"/>
                <w:szCs w:val="16"/>
                <w:lang w:val="ro-MD"/>
              </w:rPr>
              <w:t>260,6</w:t>
            </w:r>
          </w:p>
        </w:tc>
        <w:tc>
          <w:tcPr>
            <w:tcW w:w="856" w:type="dxa"/>
            <w:tcBorders>
              <w:top w:val="nil"/>
              <w:left w:val="nil"/>
              <w:bottom w:val="single" w:sz="4" w:space="0" w:color="auto"/>
              <w:right w:val="single" w:sz="8" w:space="0" w:color="auto"/>
            </w:tcBorders>
            <w:shd w:val="clear" w:color="000000" w:fill="FFFFFF"/>
            <w:noWrap/>
            <w:vAlign w:val="center"/>
            <w:hideMark/>
          </w:tcPr>
          <w:p w14:paraId="56B16A88" w14:textId="44C99110" w:rsidR="00553E10" w:rsidRPr="00312485" w:rsidRDefault="00553E10" w:rsidP="00014C4B">
            <w:pPr>
              <w:ind w:firstLine="0"/>
              <w:jc w:val="center"/>
              <w:rPr>
                <w:bCs/>
                <w:sz w:val="16"/>
                <w:szCs w:val="16"/>
                <w:lang w:val="ro-MD"/>
              </w:rPr>
            </w:pPr>
            <w:r w:rsidRPr="00312485">
              <w:rPr>
                <w:bCs/>
                <w:sz w:val="16"/>
                <w:szCs w:val="16"/>
                <w:lang w:val="ro-MD"/>
              </w:rPr>
              <w:t>3</w:t>
            </w:r>
            <w:r w:rsidR="00014C4B" w:rsidRPr="00312485">
              <w:rPr>
                <w:bCs/>
                <w:sz w:val="16"/>
                <w:szCs w:val="16"/>
                <w:lang w:val="ro-MD"/>
              </w:rPr>
              <w:t xml:space="preserve"> </w:t>
            </w:r>
            <w:r w:rsidRPr="00312485">
              <w:rPr>
                <w:bCs/>
                <w:sz w:val="16"/>
                <w:szCs w:val="16"/>
                <w:lang w:val="ro-MD"/>
              </w:rPr>
              <w:t>444,6</w:t>
            </w:r>
          </w:p>
        </w:tc>
        <w:tc>
          <w:tcPr>
            <w:tcW w:w="576" w:type="dxa"/>
            <w:tcBorders>
              <w:top w:val="nil"/>
              <w:left w:val="nil"/>
              <w:bottom w:val="single" w:sz="4" w:space="0" w:color="auto"/>
              <w:right w:val="single" w:sz="4" w:space="0" w:color="auto"/>
            </w:tcBorders>
            <w:shd w:val="clear" w:color="auto" w:fill="auto"/>
            <w:noWrap/>
            <w:vAlign w:val="center"/>
            <w:hideMark/>
          </w:tcPr>
          <w:p w14:paraId="6F50D48C" w14:textId="5DF6403F"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4" w:space="0" w:color="auto"/>
            </w:tcBorders>
            <w:shd w:val="clear" w:color="auto" w:fill="auto"/>
            <w:noWrap/>
            <w:vAlign w:val="center"/>
            <w:hideMark/>
          </w:tcPr>
          <w:p w14:paraId="0AF6E357" w14:textId="4B0B91D8"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8" w:space="0" w:color="auto"/>
            </w:tcBorders>
            <w:shd w:val="clear" w:color="auto" w:fill="auto"/>
            <w:noWrap/>
            <w:vAlign w:val="center"/>
            <w:hideMark/>
          </w:tcPr>
          <w:p w14:paraId="3C7C4A69" w14:textId="15E6E6F6" w:rsidR="00553E10" w:rsidRPr="00312485" w:rsidRDefault="00553E10" w:rsidP="00553E10">
            <w:pPr>
              <w:ind w:firstLine="0"/>
              <w:jc w:val="center"/>
              <w:rPr>
                <w:bCs/>
                <w:color w:val="000000"/>
                <w:sz w:val="16"/>
                <w:szCs w:val="16"/>
                <w:lang w:val="ro-MD"/>
              </w:rPr>
            </w:pPr>
          </w:p>
        </w:tc>
        <w:tc>
          <w:tcPr>
            <w:tcW w:w="856" w:type="dxa"/>
            <w:tcBorders>
              <w:top w:val="nil"/>
              <w:left w:val="nil"/>
              <w:bottom w:val="single" w:sz="4" w:space="0" w:color="auto"/>
              <w:right w:val="single" w:sz="4" w:space="0" w:color="auto"/>
            </w:tcBorders>
            <w:shd w:val="clear" w:color="auto" w:fill="auto"/>
            <w:noWrap/>
            <w:vAlign w:val="center"/>
            <w:hideMark/>
          </w:tcPr>
          <w:p w14:paraId="073F74C4" w14:textId="6A59AB35" w:rsidR="00553E10" w:rsidRPr="00312485" w:rsidRDefault="00553E10" w:rsidP="00014C4B">
            <w:pPr>
              <w:ind w:firstLine="0"/>
              <w:jc w:val="center"/>
              <w:rPr>
                <w:bCs/>
                <w:color w:val="000000"/>
                <w:sz w:val="16"/>
                <w:szCs w:val="16"/>
                <w:lang w:val="ro-MD"/>
              </w:rPr>
            </w:pPr>
            <w:r w:rsidRPr="00312485">
              <w:rPr>
                <w:bCs/>
                <w:color w:val="000000"/>
                <w:sz w:val="16"/>
                <w:szCs w:val="16"/>
                <w:lang w:val="ro-MD"/>
              </w:rPr>
              <w:t>3</w:t>
            </w:r>
            <w:r w:rsidR="00014C4B" w:rsidRPr="00312485">
              <w:rPr>
                <w:bCs/>
                <w:color w:val="000000"/>
                <w:sz w:val="16"/>
                <w:szCs w:val="16"/>
                <w:lang w:val="ro-MD"/>
              </w:rPr>
              <w:t xml:space="preserve"> </w:t>
            </w:r>
            <w:r w:rsidRPr="00312485">
              <w:rPr>
                <w:bCs/>
                <w:color w:val="000000"/>
                <w:sz w:val="16"/>
                <w:szCs w:val="16"/>
                <w:lang w:val="ro-MD"/>
              </w:rPr>
              <w:t>038,0</w:t>
            </w:r>
          </w:p>
        </w:tc>
        <w:tc>
          <w:tcPr>
            <w:tcW w:w="856" w:type="dxa"/>
            <w:tcBorders>
              <w:top w:val="nil"/>
              <w:left w:val="nil"/>
              <w:bottom w:val="single" w:sz="4" w:space="0" w:color="auto"/>
              <w:right w:val="single" w:sz="4" w:space="0" w:color="auto"/>
            </w:tcBorders>
            <w:shd w:val="clear" w:color="auto" w:fill="auto"/>
            <w:noWrap/>
            <w:vAlign w:val="center"/>
            <w:hideMark/>
          </w:tcPr>
          <w:p w14:paraId="286F35C8" w14:textId="1E6BC3B0" w:rsidR="00553E10" w:rsidRPr="00312485" w:rsidRDefault="00553E10" w:rsidP="00014C4B">
            <w:pPr>
              <w:ind w:firstLine="0"/>
              <w:jc w:val="center"/>
              <w:rPr>
                <w:bCs/>
                <w:color w:val="000000"/>
                <w:sz w:val="16"/>
                <w:szCs w:val="16"/>
                <w:lang w:val="ro-MD"/>
              </w:rPr>
            </w:pPr>
            <w:r w:rsidRPr="00312485">
              <w:rPr>
                <w:bCs/>
                <w:color w:val="000000"/>
                <w:sz w:val="16"/>
                <w:szCs w:val="16"/>
                <w:lang w:val="ro-MD"/>
              </w:rPr>
              <w:t>3</w:t>
            </w:r>
            <w:r w:rsidR="00014C4B" w:rsidRPr="00312485">
              <w:rPr>
                <w:bCs/>
                <w:color w:val="000000"/>
                <w:sz w:val="16"/>
                <w:szCs w:val="16"/>
                <w:lang w:val="ro-MD"/>
              </w:rPr>
              <w:t xml:space="preserve"> </w:t>
            </w:r>
            <w:r w:rsidRPr="00312485">
              <w:rPr>
                <w:bCs/>
                <w:color w:val="000000"/>
                <w:sz w:val="16"/>
                <w:szCs w:val="16"/>
                <w:lang w:val="ro-MD"/>
              </w:rPr>
              <w:t>260,6</w:t>
            </w:r>
          </w:p>
        </w:tc>
        <w:tc>
          <w:tcPr>
            <w:tcW w:w="856" w:type="dxa"/>
            <w:tcBorders>
              <w:top w:val="nil"/>
              <w:left w:val="nil"/>
              <w:bottom w:val="single" w:sz="4" w:space="0" w:color="auto"/>
              <w:right w:val="single" w:sz="8" w:space="0" w:color="auto"/>
            </w:tcBorders>
            <w:shd w:val="clear" w:color="auto" w:fill="auto"/>
            <w:noWrap/>
            <w:vAlign w:val="center"/>
            <w:hideMark/>
          </w:tcPr>
          <w:p w14:paraId="4D6F046F" w14:textId="2B842CFB" w:rsidR="00553E10" w:rsidRPr="00312485" w:rsidRDefault="00553E10" w:rsidP="00014C4B">
            <w:pPr>
              <w:ind w:firstLine="0"/>
              <w:jc w:val="center"/>
              <w:rPr>
                <w:bCs/>
                <w:color w:val="000000"/>
                <w:sz w:val="16"/>
                <w:szCs w:val="16"/>
                <w:lang w:val="ro-MD"/>
              </w:rPr>
            </w:pPr>
            <w:r w:rsidRPr="00312485">
              <w:rPr>
                <w:bCs/>
                <w:color w:val="000000"/>
                <w:sz w:val="16"/>
                <w:szCs w:val="16"/>
                <w:lang w:val="ro-MD"/>
              </w:rPr>
              <w:t>3</w:t>
            </w:r>
            <w:r w:rsidR="00014C4B" w:rsidRPr="00312485">
              <w:rPr>
                <w:bCs/>
                <w:color w:val="000000"/>
                <w:sz w:val="16"/>
                <w:szCs w:val="16"/>
                <w:lang w:val="ro-MD"/>
              </w:rPr>
              <w:t xml:space="preserve"> </w:t>
            </w:r>
            <w:r w:rsidRPr="00312485">
              <w:rPr>
                <w:bCs/>
                <w:color w:val="000000"/>
                <w:sz w:val="16"/>
                <w:szCs w:val="16"/>
                <w:lang w:val="ro-MD"/>
              </w:rPr>
              <w:t>444,6</w:t>
            </w:r>
          </w:p>
        </w:tc>
      </w:tr>
      <w:tr w:rsidR="00553E10" w:rsidRPr="00312485" w14:paraId="48EA62A1" w14:textId="77777777" w:rsidTr="00553E10">
        <w:trPr>
          <w:trHeight w:val="360"/>
        </w:trPr>
        <w:tc>
          <w:tcPr>
            <w:tcW w:w="2258" w:type="dxa"/>
            <w:tcBorders>
              <w:top w:val="nil"/>
              <w:left w:val="single" w:sz="8" w:space="0" w:color="auto"/>
              <w:bottom w:val="single" w:sz="4" w:space="0" w:color="auto"/>
              <w:right w:val="nil"/>
            </w:tcBorders>
            <w:shd w:val="clear" w:color="auto" w:fill="auto"/>
            <w:vAlign w:val="center"/>
            <w:hideMark/>
          </w:tcPr>
          <w:p w14:paraId="14E77A91"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Contribuții și prime de asigurări obligatorii</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0F55DC54" w14:textId="0434FBB0" w:rsidR="00553E10" w:rsidRPr="00312485" w:rsidRDefault="00553E10" w:rsidP="00014C4B">
            <w:pPr>
              <w:ind w:firstLine="0"/>
              <w:jc w:val="center"/>
              <w:rPr>
                <w:bCs/>
                <w:sz w:val="16"/>
                <w:szCs w:val="16"/>
                <w:lang w:val="ro-MD"/>
              </w:rPr>
            </w:pPr>
            <w:r w:rsidRPr="00312485">
              <w:rPr>
                <w:bCs/>
                <w:sz w:val="16"/>
                <w:szCs w:val="16"/>
                <w:lang w:val="ro-MD"/>
              </w:rPr>
              <w:t>41</w:t>
            </w:r>
            <w:r w:rsidR="00014C4B" w:rsidRPr="00312485">
              <w:rPr>
                <w:bCs/>
                <w:sz w:val="16"/>
                <w:szCs w:val="16"/>
                <w:lang w:val="ro-MD"/>
              </w:rPr>
              <w:t xml:space="preserve"> </w:t>
            </w:r>
            <w:r w:rsidRPr="00312485">
              <w:rPr>
                <w:bCs/>
                <w:sz w:val="16"/>
                <w:szCs w:val="16"/>
                <w:lang w:val="ro-MD"/>
              </w:rPr>
              <w:t>867,0</w:t>
            </w:r>
          </w:p>
        </w:tc>
        <w:tc>
          <w:tcPr>
            <w:tcW w:w="856" w:type="dxa"/>
            <w:tcBorders>
              <w:top w:val="nil"/>
              <w:left w:val="nil"/>
              <w:bottom w:val="single" w:sz="4" w:space="0" w:color="auto"/>
              <w:right w:val="single" w:sz="4" w:space="0" w:color="auto"/>
            </w:tcBorders>
            <w:shd w:val="clear" w:color="000000" w:fill="FFFFFF"/>
            <w:noWrap/>
            <w:vAlign w:val="center"/>
            <w:hideMark/>
          </w:tcPr>
          <w:p w14:paraId="6BF23936" w14:textId="6494A2BD" w:rsidR="00553E10" w:rsidRPr="00312485" w:rsidRDefault="00553E10" w:rsidP="00014C4B">
            <w:pPr>
              <w:ind w:firstLine="0"/>
              <w:jc w:val="center"/>
              <w:rPr>
                <w:bCs/>
                <w:sz w:val="16"/>
                <w:szCs w:val="16"/>
                <w:lang w:val="ro-MD"/>
              </w:rPr>
            </w:pPr>
            <w:r w:rsidRPr="00312485">
              <w:rPr>
                <w:bCs/>
                <w:sz w:val="16"/>
                <w:szCs w:val="16"/>
                <w:lang w:val="ro-MD"/>
              </w:rPr>
              <w:t>45</w:t>
            </w:r>
            <w:r w:rsidR="00014C4B" w:rsidRPr="00312485">
              <w:rPr>
                <w:bCs/>
                <w:sz w:val="16"/>
                <w:szCs w:val="16"/>
                <w:lang w:val="ro-MD"/>
              </w:rPr>
              <w:t xml:space="preserve"> </w:t>
            </w:r>
            <w:r w:rsidRPr="00312485">
              <w:rPr>
                <w:bCs/>
                <w:sz w:val="16"/>
                <w:szCs w:val="16"/>
                <w:lang w:val="ro-MD"/>
              </w:rPr>
              <w:t>909,5</w:t>
            </w:r>
          </w:p>
        </w:tc>
        <w:tc>
          <w:tcPr>
            <w:tcW w:w="856" w:type="dxa"/>
            <w:tcBorders>
              <w:top w:val="nil"/>
              <w:left w:val="nil"/>
              <w:bottom w:val="single" w:sz="4" w:space="0" w:color="auto"/>
              <w:right w:val="single" w:sz="8" w:space="0" w:color="auto"/>
            </w:tcBorders>
            <w:shd w:val="clear" w:color="000000" w:fill="FFFFFF"/>
            <w:noWrap/>
            <w:vAlign w:val="center"/>
            <w:hideMark/>
          </w:tcPr>
          <w:p w14:paraId="4689BD62" w14:textId="3732982A" w:rsidR="00553E10" w:rsidRPr="00312485" w:rsidRDefault="00553E10" w:rsidP="00014C4B">
            <w:pPr>
              <w:ind w:firstLine="0"/>
              <w:jc w:val="center"/>
              <w:rPr>
                <w:bCs/>
                <w:sz w:val="16"/>
                <w:szCs w:val="16"/>
                <w:lang w:val="ro-MD"/>
              </w:rPr>
            </w:pPr>
            <w:r w:rsidRPr="00312485">
              <w:rPr>
                <w:bCs/>
                <w:sz w:val="16"/>
                <w:szCs w:val="16"/>
                <w:lang w:val="ro-MD"/>
              </w:rPr>
              <w:t>50</w:t>
            </w:r>
            <w:r w:rsidR="00014C4B" w:rsidRPr="00312485">
              <w:rPr>
                <w:bCs/>
                <w:sz w:val="16"/>
                <w:szCs w:val="16"/>
                <w:lang w:val="ro-MD"/>
              </w:rPr>
              <w:t xml:space="preserve"> </w:t>
            </w:r>
            <w:r w:rsidRPr="00312485">
              <w:rPr>
                <w:bCs/>
                <w:sz w:val="16"/>
                <w:szCs w:val="16"/>
                <w:lang w:val="ro-MD"/>
              </w:rPr>
              <w:t>243,4</w:t>
            </w:r>
          </w:p>
        </w:tc>
        <w:tc>
          <w:tcPr>
            <w:tcW w:w="576" w:type="dxa"/>
            <w:tcBorders>
              <w:top w:val="nil"/>
              <w:left w:val="nil"/>
              <w:bottom w:val="single" w:sz="4" w:space="0" w:color="auto"/>
              <w:right w:val="single" w:sz="4" w:space="0" w:color="auto"/>
            </w:tcBorders>
            <w:shd w:val="clear" w:color="auto" w:fill="auto"/>
            <w:noWrap/>
            <w:vAlign w:val="center"/>
            <w:hideMark/>
          </w:tcPr>
          <w:p w14:paraId="2D3340AE" w14:textId="56371686"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4" w:space="0" w:color="auto"/>
            </w:tcBorders>
            <w:shd w:val="clear" w:color="auto" w:fill="auto"/>
            <w:noWrap/>
            <w:vAlign w:val="center"/>
            <w:hideMark/>
          </w:tcPr>
          <w:p w14:paraId="22451227" w14:textId="1A680480"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8" w:space="0" w:color="auto"/>
            </w:tcBorders>
            <w:shd w:val="clear" w:color="auto" w:fill="auto"/>
            <w:noWrap/>
            <w:vAlign w:val="center"/>
            <w:hideMark/>
          </w:tcPr>
          <w:p w14:paraId="4ED62BD2" w14:textId="2381529B" w:rsidR="00553E10" w:rsidRPr="00312485" w:rsidRDefault="00553E10" w:rsidP="00553E10">
            <w:pPr>
              <w:ind w:firstLine="0"/>
              <w:jc w:val="center"/>
              <w:rPr>
                <w:bCs/>
                <w:color w:val="000000"/>
                <w:sz w:val="16"/>
                <w:szCs w:val="16"/>
                <w:lang w:val="ro-MD"/>
              </w:rPr>
            </w:pPr>
          </w:p>
        </w:tc>
        <w:tc>
          <w:tcPr>
            <w:tcW w:w="856" w:type="dxa"/>
            <w:tcBorders>
              <w:top w:val="nil"/>
              <w:left w:val="nil"/>
              <w:bottom w:val="single" w:sz="4" w:space="0" w:color="auto"/>
              <w:right w:val="single" w:sz="4" w:space="0" w:color="auto"/>
            </w:tcBorders>
            <w:shd w:val="clear" w:color="auto" w:fill="auto"/>
            <w:noWrap/>
            <w:vAlign w:val="center"/>
            <w:hideMark/>
          </w:tcPr>
          <w:p w14:paraId="095C0656" w14:textId="3C24ACC6" w:rsidR="00553E10" w:rsidRPr="00312485" w:rsidRDefault="00553E10" w:rsidP="00014C4B">
            <w:pPr>
              <w:ind w:firstLine="0"/>
              <w:jc w:val="center"/>
              <w:rPr>
                <w:bCs/>
                <w:color w:val="000000"/>
                <w:sz w:val="16"/>
                <w:szCs w:val="16"/>
                <w:lang w:val="ro-MD"/>
              </w:rPr>
            </w:pPr>
            <w:r w:rsidRPr="00312485">
              <w:rPr>
                <w:bCs/>
                <w:color w:val="000000"/>
                <w:sz w:val="16"/>
                <w:szCs w:val="16"/>
                <w:lang w:val="ro-MD"/>
              </w:rPr>
              <w:t>41</w:t>
            </w:r>
            <w:r w:rsidR="00014C4B" w:rsidRPr="00312485">
              <w:rPr>
                <w:bCs/>
                <w:color w:val="000000"/>
                <w:sz w:val="16"/>
                <w:szCs w:val="16"/>
                <w:lang w:val="ro-MD"/>
              </w:rPr>
              <w:t xml:space="preserve"> </w:t>
            </w:r>
            <w:r w:rsidRPr="00312485">
              <w:rPr>
                <w:bCs/>
                <w:color w:val="000000"/>
                <w:sz w:val="16"/>
                <w:szCs w:val="16"/>
                <w:lang w:val="ro-MD"/>
              </w:rPr>
              <w:t>867,0</w:t>
            </w:r>
          </w:p>
        </w:tc>
        <w:tc>
          <w:tcPr>
            <w:tcW w:w="856" w:type="dxa"/>
            <w:tcBorders>
              <w:top w:val="nil"/>
              <w:left w:val="nil"/>
              <w:bottom w:val="single" w:sz="4" w:space="0" w:color="auto"/>
              <w:right w:val="single" w:sz="4" w:space="0" w:color="auto"/>
            </w:tcBorders>
            <w:shd w:val="clear" w:color="auto" w:fill="auto"/>
            <w:noWrap/>
            <w:vAlign w:val="center"/>
            <w:hideMark/>
          </w:tcPr>
          <w:p w14:paraId="2A6BCC10" w14:textId="1F6CAA23" w:rsidR="00553E10" w:rsidRPr="00312485" w:rsidRDefault="00553E10" w:rsidP="00014C4B">
            <w:pPr>
              <w:ind w:firstLine="0"/>
              <w:jc w:val="center"/>
              <w:rPr>
                <w:bCs/>
                <w:color w:val="000000"/>
                <w:sz w:val="16"/>
                <w:szCs w:val="16"/>
                <w:lang w:val="ro-MD"/>
              </w:rPr>
            </w:pPr>
            <w:r w:rsidRPr="00312485">
              <w:rPr>
                <w:bCs/>
                <w:color w:val="000000"/>
                <w:sz w:val="16"/>
                <w:szCs w:val="16"/>
                <w:lang w:val="ro-MD"/>
              </w:rPr>
              <w:t>45</w:t>
            </w:r>
            <w:r w:rsidR="00014C4B" w:rsidRPr="00312485">
              <w:rPr>
                <w:bCs/>
                <w:color w:val="000000"/>
                <w:sz w:val="16"/>
                <w:szCs w:val="16"/>
                <w:lang w:val="ro-MD"/>
              </w:rPr>
              <w:t xml:space="preserve"> </w:t>
            </w:r>
            <w:r w:rsidRPr="00312485">
              <w:rPr>
                <w:bCs/>
                <w:color w:val="000000"/>
                <w:sz w:val="16"/>
                <w:szCs w:val="16"/>
                <w:lang w:val="ro-MD"/>
              </w:rPr>
              <w:t>909,5</w:t>
            </w:r>
          </w:p>
        </w:tc>
        <w:tc>
          <w:tcPr>
            <w:tcW w:w="856" w:type="dxa"/>
            <w:tcBorders>
              <w:top w:val="nil"/>
              <w:left w:val="nil"/>
              <w:bottom w:val="single" w:sz="4" w:space="0" w:color="auto"/>
              <w:right w:val="single" w:sz="8" w:space="0" w:color="auto"/>
            </w:tcBorders>
            <w:shd w:val="clear" w:color="auto" w:fill="auto"/>
            <w:noWrap/>
            <w:vAlign w:val="center"/>
            <w:hideMark/>
          </w:tcPr>
          <w:p w14:paraId="04804BD8" w14:textId="56CA1A91" w:rsidR="00553E10" w:rsidRPr="00312485" w:rsidRDefault="00553E10" w:rsidP="00014C4B">
            <w:pPr>
              <w:ind w:firstLine="0"/>
              <w:jc w:val="center"/>
              <w:rPr>
                <w:bCs/>
                <w:color w:val="000000"/>
                <w:sz w:val="16"/>
                <w:szCs w:val="16"/>
                <w:lang w:val="ro-MD"/>
              </w:rPr>
            </w:pPr>
            <w:r w:rsidRPr="00312485">
              <w:rPr>
                <w:bCs/>
                <w:color w:val="000000"/>
                <w:sz w:val="16"/>
                <w:szCs w:val="16"/>
                <w:lang w:val="ro-MD"/>
              </w:rPr>
              <w:t>50</w:t>
            </w:r>
            <w:r w:rsidR="00014C4B" w:rsidRPr="00312485">
              <w:rPr>
                <w:bCs/>
                <w:color w:val="000000"/>
                <w:sz w:val="16"/>
                <w:szCs w:val="16"/>
                <w:lang w:val="ro-MD"/>
              </w:rPr>
              <w:t xml:space="preserve"> </w:t>
            </w:r>
            <w:r w:rsidRPr="00312485">
              <w:rPr>
                <w:bCs/>
                <w:color w:val="000000"/>
                <w:sz w:val="16"/>
                <w:szCs w:val="16"/>
                <w:lang w:val="ro-MD"/>
              </w:rPr>
              <w:t>243,4</w:t>
            </w:r>
          </w:p>
        </w:tc>
      </w:tr>
      <w:tr w:rsidR="00553E10" w:rsidRPr="00312485" w14:paraId="13E6135C" w14:textId="77777777" w:rsidTr="00553E10">
        <w:trPr>
          <w:trHeight w:val="300"/>
        </w:trPr>
        <w:tc>
          <w:tcPr>
            <w:tcW w:w="2258" w:type="dxa"/>
            <w:tcBorders>
              <w:top w:val="nil"/>
              <w:left w:val="single" w:sz="8" w:space="0" w:color="auto"/>
              <w:bottom w:val="single" w:sz="4" w:space="0" w:color="auto"/>
              <w:right w:val="nil"/>
            </w:tcBorders>
            <w:shd w:val="clear" w:color="auto" w:fill="auto"/>
            <w:vAlign w:val="center"/>
            <w:hideMark/>
          </w:tcPr>
          <w:p w14:paraId="62D68710"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Granturi</w:t>
            </w:r>
          </w:p>
        </w:tc>
        <w:tc>
          <w:tcPr>
            <w:tcW w:w="856" w:type="dxa"/>
            <w:tcBorders>
              <w:top w:val="nil"/>
              <w:left w:val="single" w:sz="8" w:space="0" w:color="auto"/>
              <w:bottom w:val="single" w:sz="4" w:space="0" w:color="auto"/>
              <w:right w:val="single" w:sz="4" w:space="0" w:color="auto"/>
            </w:tcBorders>
            <w:shd w:val="clear" w:color="000000" w:fill="FFFFFF"/>
            <w:noWrap/>
            <w:vAlign w:val="center"/>
            <w:hideMark/>
          </w:tcPr>
          <w:p w14:paraId="5B086314" w14:textId="644938E0" w:rsidR="00553E10" w:rsidRPr="00312485" w:rsidRDefault="00553E10" w:rsidP="00014C4B">
            <w:pPr>
              <w:ind w:firstLine="0"/>
              <w:jc w:val="center"/>
              <w:rPr>
                <w:bCs/>
                <w:sz w:val="16"/>
                <w:szCs w:val="16"/>
                <w:lang w:val="ro-MD"/>
              </w:rPr>
            </w:pPr>
            <w:r w:rsidRPr="00312485">
              <w:rPr>
                <w:bCs/>
                <w:sz w:val="16"/>
                <w:szCs w:val="16"/>
                <w:lang w:val="ro-MD"/>
              </w:rPr>
              <w:t>1</w:t>
            </w:r>
            <w:r w:rsidR="00014C4B" w:rsidRPr="00312485">
              <w:rPr>
                <w:bCs/>
                <w:sz w:val="16"/>
                <w:szCs w:val="16"/>
                <w:lang w:val="ro-MD"/>
              </w:rPr>
              <w:t xml:space="preserve"> </w:t>
            </w:r>
            <w:r w:rsidRPr="00312485">
              <w:rPr>
                <w:bCs/>
                <w:sz w:val="16"/>
                <w:szCs w:val="16"/>
                <w:lang w:val="ro-MD"/>
              </w:rPr>
              <w:t>649,0</w:t>
            </w:r>
          </w:p>
        </w:tc>
        <w:tc>
          <w:tcPr>
            <w:tcW w:w="856" w:type="dxa"/>
            <w:tcBorders>
              <w:top w:val="nil"/>
              <w:left w:val="nil"/>
              <w:bottom w:val="single" w:sz="4" w:space="0" w:color="auto"/>
              <w:right w:val="single" w:sz="4" w:space="0" w:color="auto"/>
            </w:tcBorders>
            <w:shd w:val="clear" w:color="000000" w:fill="FFFFFF"/>
            <w:noWrap/>
            <w:vAlign w:val="center"/>
            <w:hideMark/>
          </w:tcPr>
          <w:p w14:paraId="6BCDD02D" w14:textId="3836E84B" w:rsidR="00553E10" w:rsidRPr="00312485" w:rsidRDefault="00553E10" w:rsidP="00014C4B">
            <w:pPr>
              <w:ind w:firstLine="0"/>
              <w:jc w:val="center"/>
              <w:rPr>
                <w:bCs/>
                <w:sz w:val="16"/>
                <w:szCs w:val="16"/>
                <w:lang w:val="ro-MD"/>
              </w:rPr>
            </w:pPr>
            <w:r w:rsidRPr="00312485">
              <w:rPr>
                <w:bCs/>
                <w:sz w:val="16"/>
                <w:szCs w:val="16"/>
                <w:lang w:val="ro-MD"/>
              </w:rPr>
              <w:t>1</w:t>
            </w:r>
            <w:r w:rsidR="00014C4B" w:rsidRPr="00312485">
              <w:rPr>
                <w:bCs/>
                <w:sz w:val="16"/>
                <w:szCs w:val="16"/>
                <w:lang w:val="ro-MD"/>
              </w:rPr>
              <w:t xml:space="preserve"> </w:t>
            </w:r>
            <w:r w:rsidRPr="00312485">
              <w:rPr>
                <w:bCs/>
                <w:sz w:val="16"/>
                <w:szCs w:val="16"/>
                <w:lang w:val="ro-MD"/>
              </w:rPr>
              <w:t>200,6</w:t>
            </w:r>
          </w:p>
        </w:tc>
        <w:tc>
          <w:tcPr>
            <w:tcW w:w="856" w:type="dxa"/>
            <w:tcBorders>
              <w:top w:val="nil"/>
              <w:left w:val="nil"/>
              <w:bottom w:val="single" w:sz="4" w:space="0" w:color="auto"/>
              <w:right w:val="single" w:sz="8" w:space="0" w:color="auto"/>
            </w:tcBorders>
            <w:shd w:val="clear" w:color="000000" w:fill="FFFFFF"/>
            <w:noWrap/>
            <w:vAlign w:val="center"/>
            <w:hideMark/>
          </w:tcPr>
          <w:p w14:paraId="51B84D5A" w14:textId="60BCA662" w:rsidR="00553E10" w:rsidRPr="00312485" w:rsidRDefault="00553E10" w:rsidP="00553E10">
            <w:pPr>
              <w:ind w:firstLine="0"/>
              <w:jc w:val="center"/>
              <w:rPr>
                <w:bCs/>
                <w:sz w:val="16"/>
                <w:szCs w:val="16"/>
                <w:lang w:val="ro-MD"/>
              </w:rPr>
            </w:pPr>
            <w:r w:rsidRPr="00312485">
              <w:rPr>
                <w:bCs/>
                <w:sz w:val="16"/>
                <w:szCs w:val="16"/>
                <w:lang w:val="ro-MD"/>
              </w:rPr>
              <w:t>673,2</w:t>
            </w:r>
          </w:p>
        </w:tc>
        <w:tc>
          <w:tcPr>
            <w:tcW w:w="576" w:type="dxa"/>
            <w:tcBorders>
              <w:top w:val="nil"/>
              <w:left w:val="nil"/>
              <w:bottom w:val="single" w:sz="4" w:space="0" w:color="auto"/>
              <w:right w:val="single" w:sz="4" w:space="0" w:color="auto"/>
            </w:tcBorders>
            <w:shd w:val="clear" w:color="auto" w:fill="auto"/>
            <w:noWrap/>
            <w:vAlign w:val="center"/>
            <w:hideMark/>
          </w:tcPr>
          <w:p w14:paraId="267C4B0A" w14:textId="334ACF50"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4" w:space="0" w:color="auto"/>
            </w:tcBorders>
            <w:shd w:val="clear" w:color="auto" w:fill="auto"/>
            <w:noWrap/>
            <w:vAlign w:val="center"/>
            <w:hideMark/>
          </w:tcPr>
          <w:p w14:paraId="09579434" w14:textId="58000315"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4" w:space="0" w:color="auto"/>
              <w:right w:val="single" w:sz="8" w:space="0" w:color="auto"/>
            </w:tcBorders>
            <w:shd w:val="clear" w:color="auto" w:fill="auto"/>
            <w:noWrap/>
            <w:vAlign w:val="center"/>
            <w:hideMark/>
          </w:tcPr>
          <w:p w14:paraId="7FDD52FF" w14:textId="1383205D" w:rsidR="00553E10" w:rsidRPr="00312485" w:rsidRDefault="00553E10" w:rsidP="00553E10">
            <w:pPr>
              <w:ind w:firstLine="0"/>
              <w:jc w:val="center"/>
              <w:rPr>
                <w:bCs/>
                <w:color w:val="000000"/>
                <w:sz w:val="16"/>
                <w:szCs w:val="16"/>
                <w:lang w:val="ro-MD"/>
              </w:rPr>
            </w:pPr>
          </w:p>
        </w:tc>
        <w:tc>
          <w:tcPr>
            <w:tcW w:w="856" w:type="dxa"/>
            <w:tcBorders>
              <w:top w:val="nil"/>
              <w:left w:val="nil"/>
              <w:bottom w:val="single" w:sz="4" w:space="0" w:color="auto"/>
              <w:right w:val="single" w:sz="4" w:space="0" w:color="auto"/>
            </w:tcBorders>
            <w:shd w:val="clear" w:color="auto" w:fill="auto"/>
            <w:noWrap/>
            <w:vAlign w:val="center"/>
            <w:hideMark/>
          </w:tcPr>
          <w:p w14:paraId="68C6051C" w14:textId="1F8D8C08" w:rsidR="00553E10" w:rsidRPr="00312485" w:rsidRDefault="00553E10" w:rsidP="00014C4B">
            <w:pPr>
              <w:ind w:firstLine="0"/>
              <w:jc w:val="center"/>
              <w:rPr>
                <w:bCs/>
                <w:color w:val="000000"/>
                <w:sz w:val="16"/>
                <w:szCs w:val="16"/>
                <w:lang w:val="ro-MD"/>
              </w:rPr>
            </w:pPr>
            <w:r w:rsidRPr="00312485">
              <w:rPr>
                <w:bCs/>
                <w:color w:val="000000"/>
                <w:sz w:val="16"/>
                <w:szCs w:val="16"/>
                <w:lang w:val="ro-MD"/>
              </w:rPr>
              <w:t>1</w:t>
            </w:r>
            <w:r w:rsidR="00014C4B" w:rsidRPr="00312485">
              <w:rPr>
                <w:bCs/>
                <w:color w:val="000000"/>
                <w:sz w:val="16"/>
                <w:szCs w:val="16"/>
                <w:lang w:val="ro-MD"/>
              </w:rPr>
              <w:t xml:space="preserve"> </w:t>
            </w:r>
            <w:r w:rsidRPr="00312485">
              <w:rPr>
                <w:bCs/>
                <w:color w:val="000000"/>
                <w:sz w:val="16"/>
                <w:szCs w:val="16"/>
                <w:lang w:val="ro-MD"/>
              </w:rPr>
              <w:t>649,0</w:t>
            </w:r>
          </w:p>
        </w:tc>
        <w:tc>
          <w:tcPr>
            <w:tcW w:w="856" w:type="dxa"/>
            <w:tcBorders>
              <w:top w:val="nil"/>
              <w:left w:val="nil"/>
              <w:bottom w:val="single" w:sz="4" w:space="0" w:color="auto"/>
              <w:right w:val="single" w:sz="4" w:space="0" w:color="auto"/>
            </w:tcBorders>
            <w:shd w:val="clear" w:color="auto" w:fill="auto"/>
            <w:noWrap/>
            <w:vAlign w:val="center"/>
            <w:hideMark/>
          </w:tcPr>
          <w:p w14:paraId="0FBEE269" w14:textId="3EA027C9" w:rsidR="00553E10" w:rsidRPr="00312485" w:rsidRDefault="00553E10" w:rsidP="00014C4B">
            <w:pPr>
              <w:ind w:firstLine="0"/>
              <w:jc w:val="center"/>
              <w:rPr>
                <w:bCs/>
                <w:color w:val="000000"/>
                <w:sz w:val="16"/>
                <w:szCs w:val="16"/>
                <w:lang w:val="ro-MD"/>
              </w:rPr>
            </w:pPr>
            <w:r w:rsidRPr="00312485">
              <w:rPr>
                <w:bCs/>
                <w:color w:val="000000"/>
                <w:sz w:val="16"/>
                <w:szCs w:val="16"/>
                <w:lang w:val="ro-MD"/>
              </w:rPr>
              <w:t>1</w:t>
            </w:r>
            <w:r w:rsidR="00014C4B" w:rsidRPr="00312485">
              <w:rPr>
                <w:bCs/>
                <w:color w:val="000000"/>
                <w:sz w:val="16"/>
                <w:szCs w:val="16"/>
                <w:lang w:val="ro-MD"/>
              </w:rPr>
              <w:t xml:space="preserve"> </w:t>
            </w:r>
            <w:r w:rsidRPr="00312485">
              <w:rPr>
                <w:bCs/>
                <w:color w:val="000000"/>
                <w:sz w:val="16"/>
                <w:szCs w:val="16"/>
                <w:lang w:val="ro-MD"/>
              </w:rPr>
              <w:t>200,6</w:t>
            </w:r>
          </w:p>
        </w:tc>
        <w:tc>
          <w:tcPr>
            <w:tcW w:w="856" w:type="dxa"/>
            <w:tcBorders>
              <w:top w:val="nil"/>
              <w:left w:val="nil"/>
              <w:bottom w:val="single" w:sz="4" w:space="0" w:color="auto"/>
              <w:right w:val="single" w:sz="8" w:space="0" w:color="auto"/>
            </w:tcBorders>
            <w:shd w:val="clear" w:color="auto" w:fill="auto"/>
            <w:noWrap/>
            <w:vAlign w:val="center"/>
            <w:hideMark/>
          </w:tcPr>
          <w:p w14:paraId="29008474" w14:textId="7A2E597A" w:rsidR="00553E10" w:rsidRPr="00312485" w:rsidRDefault="00553E10" w:rsidP="00553E10">
            <w:pPr>
              <w:ind w:firstLine="0"/>
              <w:jc w:val="center"/>
              <w:rPr>
                <w:bCs/>
                <w:color w:val="000000"/>
                <w:sz w:val="16"/>
                <w:szCs w:val="16"/>
                <w:lang w:val="ro-MD"/>
              </w:rPr>
            </w:pPr>
            <w:r w:rsidRPr="00312485">
              <w:rPr>
                <w:bCs/>
                <w:color w:val="000000"/>
                <w:sz w:val="16"/>
                <w:szCs w:val="16"/>
                <w:lang w:val="ro-MD"/>
              </w:rPr>
              <w:t>673,2</w:t>
            </w:r>
          </w:p>
        </w:tc>
      </w:tr>
      <w:tr w:rsidR="00553E10" w:rsidRPr="00312485" w14:paraId="700992BD" w14:textId="77777777" w:rsidTr="00553E10">
        <w:trPr>
          <w:trHeight w:val="315"/>
        </w:trPr>
        <w:tc>
          <w:tcPr>
            <w:tcW w:w="2258" w:type="dxa"/>
            <w:tcBorders>
              <w:top w:val="nil"/>
              <w:left w:val="single" w:sz="8" w:space="0" w:color="auto"/>
              <w:bottom w:val="single" w:sz="8" w:space="0" w:color="auto"/>
              <w:right w:val="nil"/>
            </w:tcBorders>
            <w:shd w:val="clear" w:color="auto" w:fill="auto"/>
            <w:vAlign w:val="center"/>
            <w:hideMark/>
          </w:tcPr>
          <w:p w14:paraId="7C817341" w14:textId="77777777" w:rsidR="00553E10" w:rsidRPr="00312485" w:rsidRDefault="00553E10" w:rsidP="00553E10">
            <w:pPr>
              <w:ind w:firstLine="0"/>
              <w:jc w:val="left"/>
              <w:rPr>
                <w:bCs/>
                <w:color w:val="000000"/>
                <w:sz w:val="16"/>
                <w:szCs w:val="16"/>
                <w:lang w:val="ro-MD"/>
              </w:rPr>
            </w:pPr>
            <w:r w:rsidRPr="00312485">
              <w:rPr>
                <w:bCs/>
                <w:color w:val="000000"/>
                <w:sz w:val="16"/>
                <w:szCs w:val="16"/>
                <w:lang w:val="ro-MD"/>
              </w:rPr>
              <w:t>Alte venituri</w:t>
            </w:r>
          </w:p>
        </w:tc>
        <w:tc>
          <w:tcPr>
            <w:tcW w:w="856" w:type="dxa"/>
            <w:tcBorders>
              <w:top w:val="nil"/>
              <w:left w:val="single" w:sz="8" w:space="0" w:color="auto"/>
              <w:bottom w:val="single" w:sz="8" w:space="0" w:color="auto"/>
              <w:right w:val="single" w:sz="4" w:space="0" w:color="auto"/>
            </w:tcBorders>
            <w:shd w:val="clear" w:color="000000" w:fill="FFFFFF"/>
            <w:noWrap/>
            <w:vAlign w:val="center"/>
            <w:hideMark/>
          </w:tcPr>
          <w:p w14:paraId="0D2F85B8" w14:textId="20685761" w:rsidR="00553E10" w:rsidRPr="00312485" w:rsidRDefault="00553E10" w:rsidP="00014C4B">
            <w:pPr>
              <w:ind w:firstLine="0"/>
              <w:jc w:val="center"/>
              <w:rPr>
                <w:bCs/>
                <w:sz w:val="16"/>
                <w:szCs w:val="16"/>
                <w:lang w:val="ro-MD"/>
              </w:rPr>
            </w:pPr>
            <w:r w:rsidRPr="00312485">
              <w:rPr>
                <w:bCs/>
                <w:sz w:val="16"/>
                <w:szCs w:val="16"/>
                <w:lang w:val="ro-MD"/>
              </w:rPr>
              <w:t>5</w:t>
            </w:r>
            <w:r w:rsidR="00014C4B" w:rsidRPr="00312485">
              <w:rPr>
                <w:bCs/>
                <w:sz w:val="16"/>
                <w:szCs w:val="16"/>
                <w:lang w:val="ro-MD"/>
              </w:rPr>
              <w:t xml:space="preserve"> </w:t>
            </w:r>
            <w:r w:rsidRPr="00312485">
              <w:rPr>
                <w:bCs/>
                <w:sz w:val="16"/>
                <w:szCs w:val="16"/>
                <w:lang w:val="ro-MD"/>
              </w:rPr>
              <w:t>959,7</w:t>
            </w:r>
          </w:p>
        </w:tc>
        <w:tc>
          <w:tcPr>
            <w:tcW w:w="856" w:type="dxa"/>
            <w:tcBorders>
              <w:top w:val="nil"/>
              <w:left w:val="nil"/>
              <w:bottom w:val="single" w:sz="8" w:space="0" w:color="auto"/>
              <w:right w:val="single" w:sz="4" w:space="0" w:color="auto"/>
            </w:tcBorders>
            <w:shd w:val="clear" w:color="000000" w:fill="FFFFFF"/>
            <w:noWrap/>
            <w:vAlign w:val="center"/>
            <w:hideMark/>
          </w:tcPr>
          <w:p w14:paraId="7329961E" w14:textId="2BB0AE3C" w:rsidR="00553E10" w:rsidRPr="00312485" w:rsidRDefault="00553E10" w:rsidP="00014C4B">
            <w:pPr>
              <w:ind w:firstLine="0"/>
              <w:jc w:val="center"/>
              <w:rPr>
                <w:bCs/>
                <w:sz w:val="16"/>
                <w:szCs w:val="16"/>
                <w:lang w:val="ro-MD"/>
              </w:rPr>
            </w:pPr>
            <w:r w:rsidRPr="00312485">
              <w:rPr>
                <w:bCs/>
                <w:sz w:val="16"/>
                <w:szCs w:val="16"/>
                <w:lang w:val="ro-MD"/>
              </w:rPr>
              <w:t>6</w:t>
            </w:r>
            <w:r w:rsidR="00014C4B" w:rsidRPr="00312485">
              <w:rPr>
                <w:bCs/>
                <w:sz w:val="16"/>
                <w:szCs w:val="16"/>
                <w:lang w:val="ro-MD"/>
              </w:rPr>
              <w:t xml:space="preserve"> </w:t>
            </w:r>
            <w:r w:rsidRPr="00312485">
              <w:rPr>
                <w:bCs/>
                <w:sz w:val="16"/>
                <w:szCs w:val="16"/>
                <w:lang w:val="ro-MD"/>
              </w:rPr>
              <w:t>393,3</w:t>
            </w:r>
          </w:p>
        </w:tc>
        <w:tc>
          <w:tcPr>
            <w:tcW w:w="856" w:type="dxa"/>
            <w:tcBorders>
              <w:top w:val="nil"/>
              <w:left w:val="nil"/>
              <w:bottom w:val="single" w:sz="8" w:space="0" w:color="auto"/>
              <w:right w:val="single" w:sz="8" w:space="0" w:color="auto"/>
            </w:tcBorders>
            <w:shd w:val="clear" w:color="000000" w:fill="FFFFFF"/>
            <w:noWrap/>
            <w:vAlign w:val="center"/>
            <w:hideMark/>
          </w:tcPr>
          <w:p w14:paraId="1D70F888" w14:textId="4A93B4C9" w:rsidR="00553E10" w:rsidRPr="00312485" w:rsidRDefault="00553E10" w:rsidP="00014C4B">
            <w:pPr>
              <w:ind w:firstLine="0"/>
              <w:jc w:val="center"/>
              <w:rPr>
                <w:bCs/>
                <w:sz w:val="16"/>
                <w:szCs w:val="16"/>
                <w:lang w:val="ro-MD"/>
              </w:rPr>
            </w:pPr>
            <w:r w:rsidRPr="00312485">
              <w:rPr>
                <w:bCs/>
                <w:sz w:val="16"/>
                <w:szCs w:val="16"/>
                <w:lang w:val="ro-MD"/>
              </w:rPr>
              <w:t>6</w:t>
            </w:r>
            <w:r w:rsidR="00014C4B" w:rsidRPr="00312485">
              <w:rPr>
                <w:bCs/>
                <w:sz w:val="16"/>
                <w:szCs w:val="16"/>
                <w:lang w:val="ro-MD"/>
              </w:rPr>
              <w:t xml:space="preserve"> </w:t>
            </w:r>
            <w:r w:rsidRPr="00312485">
              <w:rPr>
                <w:bCs/>
                <w:sz w:val="16"/>
                <w:szCs w:val="16"/>
                <w:lang w:val="ro-MD"/>
              </w:rPr>
              <w:t>888,8</w:t>
            </w:r>
          </w:p>
        </w:tc>
        <w:tc>
          <w:tcPr>
            <w:tcW w:w="576" w:type="dxa"/>
            <w:tcBorders>
              <w:top w:val="nil"/>
              <w:left w:val="nil"/>
              <w:bottom w:val="single" w:sz="8" w:space="0" w:color="auto"/>
              <w:right w:val="single" w:sz="4" w:space="0" w:color="auto"/>
            </w:tcBorders>
            <w:shd w:val="clear" w:color="auto" w:fill="auto"/>
            <w:noWrap/>
            <w:vAlign w:val="center"/>
            <w:hideMark/>
          </w:tcPr>
          <w:p w14:paraId="11FB4829" w14:textId="287D3A32"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8" w:space="0" w:color="auto"/>
              <w:right w:val="single" w:sz="4" w:space="0" w:color="auto"/>
            </w:tcBorders>
            <w:shd w:val="clear" w:color="auto" w:fill="auto"/>
            <w:noWrap/>
            <w:vAlign w:val="center"/>
            <w:hideMark/>
          </w:tcPr>
          <w:p w14:paraId="700BFCB2" w14:textId="672E62A8" w:rsidR="00553E10" w:rsidRPr="00312485" w:rsidRDefault="00553E10" w:rsidP="00553E10">
            <w:pPr>
              <w:ind w:firstLine="0"/>
              <w:jc w:val="center"/>
              <w:rPr>
                <w:bCs/>
                <w:color w:val="000000"/>
                <w:sz w:val="16"/>
                <w:szCs w:val="16"/>
                <w:lang w:val="ro-MD"/>
              </w:rPr>
            </w:pPr>
          </w:p>
        </w:tc>
        <w:tc>
          <w:tcPr>
            <w:tcW w:w="696" w:type="dxa"/>
            <w:tcBorders>
              <w:top w:val="nil"/>
              <w:left w:val="nil"/>
              <w:bottom w:val="single" w:sz="8" w:space="0" w:color="auto"/>
              <w:right w:val="single" w:sz="8" w:space="0" w:color="auto"/>
            </w:tcBorders>
            <w:shd w:val="clear" w:color="auto" w:fill="auto"/>
            <w:noWrap/>
            <w:vAlign w:val="center"/>
            <w:hideMark/>
          </w:tcPr>
          <w:p w14:paraId="16EA3486" w14:textId="798BC6B5" w:rsidR="00553E10" w:rsidRPr="00312485" w:rsidRDefault="00553E10" w:rsidP="00553E10">
            <w:pPr>
              <w:ind w:firstLine="0"/>
              <w:jc w:val="center"/>
              <w:rPr>
                <w:bCs/>
                <w:color w:val="000000"/>
                <w:sz w:val="16"/>
                <w:szCs w:val="16"/>
                <w:lang w:val="ro-MD"/>
              </w:rPr>
            </w:pPr>
          </w:p>
        </w:tc>
        <w:tc>
          <w:tcPr>
            <w:tcW w:w="856" w:type="dxa"/>
            <w:tcBorders>
              <w:top w:val="nil"/>
              <w:left w:val="nil"/>
              <w:bottom w:val="single" w:sz="8" w:space="0" w:color="auto"/>
              <w:right w:val="single" w:sz="4" w:space="0" w:color="auto"/>
            </w:tcBorders>
            <w:shd w:val="clear" w:color="auto" w:fill="auto"/>
            <w:noWrap/>
            <w:vAlign w:val="center"/>
            <w:hideMark/>
          </w:tcPr>
          <w:p w14:paraId="31EDB5E6" w14:textId="70B035BA" w:rsidR="00553E10" w:rsidRPr="00312485" w:rsidRDefault="00553E10" w:rsidP="00014C4B">
            <w:pPr>
              <w:ind w:firstLine="0"/>
              <w:jc w:val="center"/>
              <w:rPr>
                <w:bCs/>
                <w:color w:val="000000"/>
                <w:sz w:val="16"/>
                <w:szCs w:val="16"/>
                <w:lang w:val="ro-MD"/>
              </w:rPr>
            </w:pPr>
            <w:r w:rsidRPr="00312485">
              <w:rPr>
                <w:bCs/>
                <w:color w:val="000000"/>
                <w:sz w:val="16"/>
                <w:szCs w:val="16"/>
                <w:lang w:val="ro-MD"/>
              </w:rPr>
              <w:t>5</w:t>
            </w:r>
            <w:r w:rsidR="00014C4B" w:rsidRPr="00312485">
              <w:rPr>
                <w:bCs/>
                <w:color w:val="000000"/>
                <w:sz w:val="16"/>
                <w:szCs w:val="16"/>
                <w:lang w:val="ro-MD"/>
              </w:rPr>
              <w:t xml:space="preserve"> </w:t>
            </w:r>
            <w:r w:rsidRPr="00312485">
              <w:rPr>
                <w:bCs/>
                <w:color w:val="000000"/>
                <w:sz w:val="16"/>
                <w:szCs w:val="16"/>
                <w:lang w:val="ro-MD"/>
              </w:rPr>
              <w:t>959,7</w:t>
            </w:r>
          </w:p>
        </w:tc>
        <w:tc>
          <w:tcPr>
            <w:tcW w:w="856" w:type="dxa"/>
            <w:tcBorders>
              <w:top w:val="nil"/>
              <w:left w:val="nil"/>
              <w:bottom w:val="single" w:sz="8" w:space="0" w:color="auto"/>
              <w:right w:val="single" w:sz="4" w:space="0" w:color="auto"/>
            </w:tcBorders>
            <w:shd w:val="clear" w:color="auto" w:fill="auto"/>
            <w:noWrap/>
            <w:vAlign w:val="center"/>
            <w:hideMark/>
          </w:tcPr>
          <w:p w14:paraId="0767FB65" w14:textId="178C1D08" w:rsidR="00553E10" w:rsidRPr="00312485" w:rsidRDefault="00553E10" w:rsidP="00014C4B">
            <w:pPr>
              <w:ind w:firstLine="0"/>
              <w:jc w:val="center"/>
              <w:rPr>
                <w:bCs/>
                <w:color w:val="000000"/>
                <w:sz w:val="16"/>
                <w:szCs w:val="16"/>
                <w:lang w:val="ro-MD"/>
              </w:rPr>
            </w:pPr>
            <w:r w:rsidRPr="00312485">
              <w:rPr>
                <w:bCs/>
                <w:color w:val="000000"/>
                <w:sz w:val="16"/>
                <w:szCs w:val="16"/>
                <w:lang w:val="ro-MD"/>
              </w:rPr>
              <w:t>6</w:t>
            </w:r>
            <w:r w:rsidR="00014C4B" w:rsidRPr="00312485">
              <w:rPr>
                <w:bCs/>
                <w:color w:val="000000"/>
                <w:sz w:val="16"/>
                <w:szCs w:val="16"/>
                <w:lang w:val="ro-MD"/>
              </w:rPr>
              <w:t xml:space="preserve"> </w:t>
            </w:r>
            <w:r w:rsidRPr="00312485">
              <w:rPr>
                <w:bCs/>
                <w:color w:val="000000"/>
                <w:sz w:val="16"/>
                <w:szCs w:val="16"/>
                <w:lang w:val="ro-MD"/>
              </w:rPr>
              <w:t>393,3</w:t>
            </w:r>
          </w:p>
        </w:tc>
        <w:tc>
          <w:tcPr>
            <w:tcW w:w="856" w:type="dxa"/>
            <w:tcBorders>
              <w:top w:val="nil"/>
              <w:left w:val="nil"/>
              <w:bottom w:val="single" w:sz="8" w:space="0" w:color="auto"/>
              <w:right w:val="single" w:sz="8" w:space="0" w:color="auto"/>
            </w:tcBorders>
            <w:shd w:val="clear" w:color="auto" w:fill="auto"/>
            <w:noWrap/>
            <w:vAlign w:val="center"/>
            <w:hideMark/>
          </w:tcPr>
          <w:p w14:paraId="3B240611" w14:textId="695247AE" w:rsidR="00553E10" w:rsidRPr="00312485" w:rsidRDefault="00553E10" w:rsidP="00014C4B">
            <w:pPr>
              <w:ind w:firstLine="0"/>
              <w:jc w:val="center"/>
              <w:rPr>
                <w:bCs/>
                <w:color w:val="000000"/>
                <w:sz w:val="16"/>
                <w:szCs w:val="16"/>
                <w:lang w:val="ro-MD"/>
              </w:rPr>
            </w:pPr>
            <w:r w:rsidRPr="00312485">
              <w:rPr>
                <w:bCs/>
                <w:color w:val="000000"/>
                <w:sz w:val="16"/>
                <w:szCs w:val="16"/>
                <w:lang w:val="ro-MD"/>
              </w:rPr>
              <w:t>6</w:t>
            </w:r>
            <w:r w:rsidR="00014C4B" w:rsidRPr="00312485">
              <w:rPr>
                <w:bCs/>
                <w:color w:val="000000"/>
                <w:sz w:val="16"/>
                <w:szCs w:val="16"/>
                <w:lang w:val="ro-MD"/>
              </w:rPr>
              <w:t xml:space="preserve"> </w:t>
            </w:r>
            <w:r w:rsidRPr="00312485">
              <w:rPr>
                <w:bCs/>
                <w:color w:val="000000"/>
                <w:sz w:val="16"/>
                <w:szCs w:val="16"/>
                <w:lang w:val="ro-MD"/>
              </w:rPr>
              <w:t>888,8</w:t>
            </w:r>
          </w:p>
        </w:tc>
      </w:tr>
    </w:tbl>
    <w:p w14:paraId="3A4F5153" w14:textId="77777777" w:rsidR="00D70CDC" w:rsidRPr="00312485" w:rsidRDefault="00D70CDC" w:rsidP="00D70CDC">
      <w:pPr>
        <w:pStyle w:val="Listparagraf"/>
        <w:spacing w:after="160"/>
        <w:ind w:left="1080" w:firstLine="0"/>
        <w:rPr>
          <w:rFonts w:eastAsia="Calibri"/>
          <w:sz w:val="16"/>
          <w:szCs w:val="18"/>
          <w:highlight w:val="yellow"/>
          <w:lang w:val="ro-MD"/>
        </w:rPr>
      </w:pPr>
      <w:r w:rsidRPr="00312485">
        <w:rPr>
          <w:rFonts w:eastAsia="Calibri"/>
          <w:i/>
          <w:sz w:val="16"/>
          <w:szCs w:val="18"/>
          <w:lang w:val="ro-MD"/>
        </w:rPr>
        <w:t>Sursa:  Ministerul Finanțelor</w:t>
      </w:r>
    </w:p>
    <w:p w14:paraId="025E8D24" w14:textId="77777777" w:rsidR="00D84B22" w:rsidRPr="00312485" w:rsidRDefault="00D84B22" w:rsidP="00D84B22">
      <w:pPr>
        <w:pStyle w:val="Title1"/>
        <w:tabs>
          <w:tab w:val="left" w:pos="993"/>
        </w:tabs>
        <w:spacing w:before="0" w:after="120" w:line="240" w:lineRule="auto"/>
        <w:ind w:firstLine="567"/>
        <w:rPr>
          <w:rFonts w:ascii="Times New Roman" w:hAnsi="Times New Roman"/>
          <w:color w:val="auto"/>
          <w:sz w:val="24"/>
          <w:szCs w:val="28"/>
          <w:lang w:val="ro-MD"/>
        </w:rPr>
      </w:pPr>
    </w:p>
    <w:p w14:paraId="0384C4BA" w14:textId="4CFC33DD" w:rsidR="00186B12" w:rsidRPr="00312485" w:rsidRDefault="00186B12" w:rsidP="00D84B22">
      <w:pPr>
        <w:pStyle w:val="Title1"/>
        <w:tabs>
          <w:tab w:val="left" w:pos="993"/>
        </w:tabs>
        <w:spacing w:before="0" w:after="120" w:line="240" w:lineRule="auto"/>
        <w:ind w:firstLine="567"/>
        <w:rPr>
          <w:rFonts w:ascii="Times New Roman" w:hAnsi="Times New Roman"/>
          <w:color w:val="auto"/>
          <w:sz w:val="24"/>
          <w:szCs w:val="28"/>
          <w:lang w:val="ro-MD"/>
        </w:rPr>
      </w:pPr>
      <w:r w:rsidRPr="00312485">
        <w:rPr>
          <w:rFonts w:ascii="Times New Roman" w:hAnsi="Times New Roman"/>
          <w:color w:val="auto"/>
          <w:sz w:val="24"/>
          <w:szCs w:val="28"/>
          <w:lang w:val="ro-MD"/>
        </w:rPr>
        <w:t xml:space="preserve">Cadrul bugetar-fiscal </w:t>
      </w:r>
    </w:p>
    <w:p w14:paraId="03843E0B" w14:textId="39E2ED32" w:rsidR="00186B12" w:rsidRPr="00312485" w:rsidRDefault="00186B12" w:rsidP="00030306">
      <w:pPr>
        <w:pStyle w:val="Numberedtex"/>
        <w:numPr>
          <w:ilvl w:val="0"/>
          <w:numId w:val="0"/>
        </w:numPr>
        <w:tabs>
          <w:tab w:val="left" w:pos="709"/>
        </w:tabs>
        <w:spacing w:after="100" w:afterAutospacing="1" w:line="240" w:lineRule="auto"/>
        <w:ind w:firstLine="567"/>
        <w:contextualSpacing/>
        <w:rPr>
          <w:rFonts w:ascii="Times New Roman" w:hAnsi="Times New Roman"/>
          <w:sz w:val="24"/>
          <w:szCs w:val="28"/>
          <w:lang w:val="ro-MD"/>
        </w:rPr>
      </w:pPr>
      <w:r w:rsidRPr="00312485">
        <w:rPr>
          <w:rFonts w:ascii="Times New Roman" w:hAnsi="Times New Roman"/>
          <w:sz w:val="24"/>
          <w:szCs w:val="28"/>
          <w:lang w:val="ro-MD"/>
        </w:rPr>
        <w:t>În anul 2024, Comisia Europeană a aprobat un Plan de creștere economică pentru Republica Moldova, în valoare de 1,9 miliarde de euro, sprijinit de o facilitate de reformă și creștere pentru perioada 2025–2027. Acesta reprezintă cel mai amplu pachet de sprijin financiar oferit de UE Moldovei, care urmărește accelerarea creșterii economice durabile și favorabile incluziunii și a procesului de aderare, pe baza reformelor legate de integrarea europeană. Punerea în aplicare cu succes a Agendei de reformă va stabili ritmul pentru punerea în aplicare a Planului de creștere al Moldovei: debursările de fonduri UE în cadrul Facilității pentru reformă și creștere vor fi condiționate de progresele înregistrate și vor contribui la accelerarea ritmului negocierilor de aderare.</w:t>
      </w:r>
    </w:p>
    <w:p w14:paraId="65809053" w14:textId="15713C9B" w:rsidR="00E366D9" w:rsidRPr="00312485" w:rsidRDefault="00E366D9" w:rsidP="00E366D9">
      <w:pPr>
        <w:pStyle w:val="Numberedtex"/>
        <w:numPr>
          <w:ilvl w:val="0"/>
          <w:numId w:val="0"/>
        </w:numPr>
        <w:tabs>
          <w:tab w:val="clear" w:pos="403"/>
          <w:tab w:val="left" w:pos="709"/>
        </w:tabs>
        <w:spacing w:before="0" w:after="100" w:afterAutospacing="1" w:line="240" w:lineRule="auto"/>
        <w:ind w:firstLine="567"/>
        <w:contextualSpacing/>
        <w:rPr>
          <w:rFonts w:ascii="Times New Roman" w:hAnsi="Times New Roman"/>
          <w:sz w:val="24"/>
          <w:szCs w:val="28"/>
          <w:lang w:val="ro-MD"/>
        </w:rPr>
      </w:pPr>
      <w:r w:rsidRPr="00312485">
        <w:rPr>
          <w:rFonts w:ascii="Times New Roman" w:hAnsi="Times New Roman"/>
          <w:sz w:val="24"/>
          <w:szCs w:val="28"/>
          <w:lang w:val="ro-MD"/>
        </w:rPr>
        <w:t>Agenda de reforme aferentă Planului de creștere economică a Republicii Moldova pentru anii 2025-2027 are la bază în număr foarte mare de reforme ambițioase, implementarea cărora necesită un sprijin financiar consistent din partea statului. Astfel</w:t>
      </w:r>
      <w:r w:rsidR="00E062CC" w:rsidRPr="00312485">
        <w:rPr>
          <w:rFonts w:ascii="Times New Roman" w:hAnsi="Times New Roman"/>
          <w:sz w:val="24"/>
          <w:szCs w:val="28"/>
          <w:lang w:val="ro-MD"/>
        </w:rPr>
        <w:t>,</w:t>
      </w:r>
      <w:r w:rsidRPr="00312485">
        <w:rPr>
          <w:rFonts w:ascii="Times New Roman" w:hAnsi="Times New Roman"/>
          <w:sz w:val="24"/>
          <w:szCs w:val="28"/>
          <w:lang w:val="ro-MD"/>
        </w:rPr>
        <w:t xml:space="preserve"> direcționarea mijloacelor financiare din contul</w:t>
      </w:r>
      <w:r w:rsidRPr="00312485">
        <w:rPr>
          <w:rFonts w:ascii="Times New Roman" w:hAnsi="Times New Roman"/>
          <w:sz w:val="24"/>
          <w:szCs w:val="24"/>
          <w:lang w:val="ro-MD"/>
        </w:rPr>
        <w:t xml:space="preserve"> împrumutului acordat de către UE pentru Facilitarea de reformă și creștere</w:t>
      </w:r>
      <w:r w:rsidRPr="00312485">
        <w:rPr>
          <w:rFonts w:ascii="Times New Roman" w:hAnsi="Times New Roman"/>
          <w:sz w:val="24"/>
          <w:szCs w:val="28"/>
          <w:lang w:val="ro-MD"/>
        </w:rPr>
        <w:t xml:space="preserve"> preponderent spre implementarea reformelor va influența creșterea cheltuielilor publice pe termen mediu.</w:t>
      </w:r>
    </w:p>
    <w:p w14:paraId="40F70D55" w14:textId="041363C4" w:rsidR="00C82678" w:rsidRPr="00312485" w:rsidRDefault="00186B12" w:rsidP="00786989">
      <w:pPr>
        <w:pStyle w:val="Numberedtex"/>
        <w:numPr>
          <w:ilvl w:val="0"/>
          <w:numId w:val="0"/>
        </w:numPr>
        <w:tabs>
          <w:tab w:val="clear" w:pos="403"/>
          <w:tab w:val="left" w:pos="709"/>
        </w:tabs>
        <w:spacing w:after="100" w:afterAutospacing="1" w:line="240" w:lineRule="auto"/>
        <w:contextualSpacing/>
        <w:rPr>
          <w:rFonts w:ascii="Times New Roman" w:hAnsi="Times New Roman"/>
          <w:sz w:val="24"/>
          <w:szCs w:val="28"/>
          <w:lang w:val="ro-MD"/>
        </w:rPr>
      </w:pPr>
      <w:r w:rsidRPr="00312485">
        <w:rPr>
          <w:rFonts w:ascii="Times New Roman" w:hAnsi="Times New Roman"/>
          <w:sz w:val="24"/>
          <w:szCs w:val="28"/>
          <w:lang w:val="ro-MD"/>
        </w:rPr>
        <w:tab/>
      </w:r>
      <w:r w:rsidR="00C82678" w:rsidRPr="00312485">
        <w:rPr>
          <w:rFonts w:ascii="Times New Roman" w:hAnsi="Times New Roman"/>
          <w:sz w:val="24"/>
          <w:szCs w:val="28"/>
          <w:lang w:val="ro-MD"/>
        </w:rPr>
        <w:t>Agregatele bugetare pentru perioada CBTM (2026-2028) indică faptul că</w:t>
      </w:r>
      <w:r w:rsidR="00F332EE" w:rsidRPr="00312485">
        <w:rPr>
          <w:rFonts w:ascii="Times New Roman" w:hAnsi="Times New Roman"/>
          <w:sz w:val="24"/>
          <w:szCs w:val="28"/>
          <w:lang w:val="ro-MD"/>
        </w:rPr>
        <w:t>,</w:t>
      </w:r>
      <w:r w:rsidR="00C82678" w:rsidRPr="00312485">
        <w:rPr>
          <w:rFonts w:ascii="Times New Roman" w:hAnsi="Times New Roman"/>
          <w:sz w:val="24"/>
          <w:szCs w:val="28"/>
          <w:lang w:val="ro-MD"/>
        </w:rPr>
        <w:t xml:space="preserve"> bugetul se află în continuă redresare după impactul provocat de multiplele crize din ultima perioadă, dar încă într-un cadru bugetar-fiscal foarte constrâns (</w:t>
      </w:r>
      <w:r w:rsidR="00A217CE" w:rsidRPr="00312485">
        <w:rPr>
          <w:rFonts w:ascii="Times New Roman" w:hAnsi="Times New Roman"/>
          <w:sz w:val="24"/>
          <w:szCs w:val="28"/>
          <w:lang w:val="ro-MD"/>
        </w:rPr>
        <w:t>tabelul 3.2</w:t>
      </w:r>
      <w:r w:rsidR="00C82678" w:rsidRPr="00312485">
        <w:rPr>
          <w:rFonts w:ascii="Times New Roman" w:hAnsi="Times New Roman"/>
          <w:sz w:val="24"/>
          <w:szCs w:val="28"/>
          <w:lang w:val="ro-MD"/>
        </w:rPr>
        <w:t>).</w:t>
      </w:r>
    </w:p>
    <w:p w14:paraId="26B7DABE" w14:textId="77777777" w:rsidR="0093469A" w:rsidRDefault="0093469A" w:rsidP="00C82678">
      <w:pPr>
        <w:ind w:left="7201" w:right="142" w:firstLine="0"/>
        <w:jc w:val="right"/>
        <w:rPr>
          <w:rFonts w:eastAsia="Calibri"/>
          <w:b/>
          <w:bCs/>
          <w:sz w:val="22"/>
          <w:szCs w:val="24"/>
          <w:lang w:val="ro-MD"/>
        </w:rPr>
      </w:pPr>
    </w:p>
    <w:p w14:paraId="133737DF" w14:textId="77777777" w:rsidR="0093469A" w:rsidRDefault="0093469A" w:rsidP="00C82678">
      <w:pPr>
        <w:ind w:left="7201" w:right="142" w:firstLine="0"/>
        <w:jc w:val="right"/>
        <w:rPr>
          <w:rFonts w:eastAsia="Calibri"/>
          <w:b/>
          <w:bCs/>
          <w:sz w:val="22"/>
          <w:szCs w:val="24"/>
          <w:lang w:val="ro-MD"/>
        </w:rPr>
      </w:pPr>
    </w:p>
    <w:p w14:paraId="69CC3DD5" w14:textId="77777777" w:rsidR="00F7628E" w:rsidRDefault="00F7628E" w:rsidP="00C82678">
      <w:pPr>
        <w:ind w:left="7201" w:right="142" w:firstLine="0"/>
        <w:jc w:val="right"/>
        <w:rPr>
          <w:rFonts w:eastAsia="Calibri"/>
          <w:b/>
          <w:bCs/>
          <w:sz w:val="22"/>
          <w:szCs w:val="24"/>
          <w:lang w:val="ro-MD"/>
        </w:rPr>
      </w:pPr>
    </w:p>
    <w:p w14:paraId="06D82EA3" w14:textId="77777777" w:rsidR="00F7628E" w:rsidRDefault="00F7628E" w:rsidP="00C82678">
      <w:pPr>
        <w:ind w:left="7201" w:right="142" w:firstLine="0"/>
        <w:jc w:val="right"/>
        <w:rPr>
          <w:rFonts w:eastAsia="Calibri"/>
          <w:b/>
          <w:bCs/>
          <w:sz w:val="22"/>
          <w:szCs w:val="24"/>
          <w:lang w:val="ro-MD"/>
        </w:rPr>
      </w:pPr>
    </w:p>
    <w:p w14:paraId="4522CBFF" w14:textId="77777777" w:rsidR="00F7628E" w:rsidRDefault="00F7628E" w:rsidP="00C82678">
      <w:pPr>
        <w:ind w:left="7201" w:right="142" w:firstLine="0"/>
        <w:jc w:val="right"/>
        <w:rPr>
          <w:rFonts w:eastAsia="Calibri"/>
          <w:b/>
          <w:bCs/>
          <w:sz w:val="22"/>
          <w:szCs w:val="24"/>
          <w:lang w:val="ro-MD"/>
        </w:rPr>
      </w:pPr>
    </w:p>
    <w:p w14:paraId="13EA625E" w14:textId="77777777" w:rsidR="00F7628E" w:rsidRDefault="00F7628E" w:rsidP="00C82678">
      <w:pPr>
        <w:ind w:left="7201" w:right="142" w:firstLine="0"/>
        <w:jc w:val="right"/>
        <w:rPr>
          <w:rFonts w:eastAsia="Calibri"/>
          <w:b/>
          <w:bCs/>
          <w:sz w:val="22"/>
          <w:szCs w:val="24"/>
          <w:lang w:val="ro-MD"/>
        </w:rPr>
      </w:pPr>
    </w:p>
    <w:p w14:paraId="6FF842BB" w14:textId="77777777" w:rsidR="00F7628E" w:rsidRDefault="00F7628E" w:rsidP="00C82678">
      <w:pPr>
        <w:ind w:left="7201" w:right="142" w:firstLine="0"/>
        <w:jc w:val="right"/>
        <w:rPr>
          <w:rFonts w:eastAsia="Calibri"/>
          <w:b/>
          <w:bCs/>
          <w:sz w:val="22"/>
          <w:szCs w:val="24"/>
          <w:lang w:val="ro-MD"/>
        </w:rPr>
      </w:pPr>
    </w:p>
    <w:p w14:paraId="00D03E0B" w14:textId="77777777" w:rsidR="00F7628E" w:rsidRDefault="00F7628E" w:rsidP="00C82678">
      <w:pPr>
        <w:ind w:left="7201" w:right="142" w:firstLine="0"/>
        <w:jc w:val="right"/>
        <w:rPr>
          <w:rFonts w:eastAsia="Calibri"/>
          <w:b/>
          <w:bCs/>
          <w:sz w:val="22"/>
          <w:szCs w:val="24"/>
          <w:lang w:val="ro-MD"/>
        </w:rPr>
      </w:pPr>
    </w:p>
    <w:p w14:paraId="14BC151B" w14:textId="77777777" w:rsidR="00F7628E" w:rsidRDefault="00F7628E" w:rsidP="00C82678">
      <w:pPr>
        <w:ind w:left="7201" w:right="142" w:firstLine="0"/>
        <w:jc w:val="right"/>
        <w:rPr>
          <w:rFonts w:eastAsia="Calibri"/>
          <w:b/>
          <w:bCs/>
          <w:sz w:val="22"/>
          <w:szCs w:val="24"/>
          <w:lang w:val="ro-MD"/>
        </w:rPr>
      </w:pPr>
    </w:p>
    <w:p w14:paraId="0612C08E" w14:textId="60CC328C" w:rsidR="00C82678" w:rsidRPr="00F1106A" w:rsidRDefault="00C82678" w:rsidP="00C82678">
      <w:pPr>
        <w:ind w:left="7201" w:right="142" w:firstLine="0"/>
        <w:jc w:val="right"/>
        <w:rPr>
          <w:rFonts w:eastAsia="Calibri"/>
          <w:b/>
          <w:bCs/>
          <w:sz w:val="22"/>
          <w:szCs w:val="24"/>
          <w:lang w:val="ro-MD"/>
        </w:rPr>
      </w:pPr>
      <w:r w:rsidRPr="00F1106A">
        <w:rPr>
          <w:rFonts w:eastAsia="Calibri"/>
          <w:b/>
          <w:bCs/>
          <w:sz w:val="22"/>
          <w:szCs w:val="24"/>
          <w:lang w:val="ro-MD"/>
        </w:rPr>
        <w:lastRenderedPageBreak/>
        <w:t>Tabelul 3.</w:t>
      </w:r>
      <w:r w:rsidR="00A217CE" w:rsidRPr="00F1106A">
        <w:rPr>
          <w:rFonts w:eastAsia="Calibri"/>
          <w:b/>
          <w:bCs/>
          <w:sz w:val="22"/>
          <w:szCs w:val="24"/>
          <w:lang w:val="ro-MD"/>
        </w:rPr>
        <w:t>2</w:t>
      </w:r>
    </w:p>
    <w:p w14:paraId="1871A94E" w14:textId="77777777" w:rsidR="00C82678" w:rsidRPr="00312485" w:rsidRDefault="00C82678" w:rsidP="00C82678">
      <w:pPr>
        <w:ind w:left="7201" w:firstLine="0"/>
        <w:jc w:val="right"/>
        <w:rPr>
          <w:rFonts w:eastAsia="Calibri"/>
          <w:szCs w:val="18"/>
          <w:lang w:val="ro-MD"/>
        </w:rPr>
      </w:pPr>
      <w:r w:rsidRPr="00312485">
        <w:rPr>
          <w:rFonts w:eastAsia="Calibri"/>
          <w:b/>
          <w:color w:val="0F243E"/>
          <w:szCs w:val="18"/>
          <w:lang w:val="ro-MD"/>
        </w:rPr>
        <w:fldChar w:fldCharType="begin"/>
      </w:r>
      <w:r w:rsidRPr="00312485">
        <w:rPr>
          <w:rFonts w:eastAsia="Calibri"/>
          <w:b/>
          <w:color w:val="0F243E"/>
          <w:szCs w:val="18"/>
          <w:lang w:val="ro-MD"/>
        </w:rPr>
        <w:instrText xml:space="preserve"> LINK Excel.Sheet.12 "C:\\Users\\diana.bobutac\\Desktop\\CBTM 2022\\Tabel 2.1-3.1_ PGB_Agregate bugetare.xlsx" "Tabel 3.2_Agregate bugetare!R2C1:R18C11" \a \f 4 \h  \* MERGEFORMAT </w:instrText>
      </w:r>
      <w:r w:rsidRPr="00312485">
        <w:rPr>
          <w:rFonts w:eastAsia="Calibri"/>
          <w:b/>
          <w:color w:val="0F243E"/>
          <w:szCs w:val="18"/>
          <w:lang w:val="ro-MD"/>
        </w:rPr>
        <w:fldChar w:fldCharType="separate"/>
      </w:r>
    </w:p>
    <w:p w14:paraId="5B78E522" w14:textId="77777777" w:rsidR="00C82678" w:rsidRPr="00312485" w:rsidRDefault="00C82678" w:rsidP="00C82678">
      <w:pPr>
        <w:ind w:firstLine="0"/>
        <w:jc w:val="center"/>
        <w:rPr>
          <w:rFonts w:eastAsia="Calibri"/>
          <w:szCs w:val="18"/>
          <w:lang w:val="ro-MD"/>
        </w:rPr>
      </w:pPr>
      <w:r w:rsidRPr="00312485">
        <w:rPr>
          <w:b/>
          <w:bCs/>
          <w:szCs w:val="18"/>
          <w:lang w:val="ro-MD"/>
        </w:rPr>
        <w:t>A</w:t>
      </w:r>
      <w:r w:rsidRPr="00312485">
        <w:rPr>
          <w:b/>
          <w:bCs/>
          <w:sz w:val="24"/>
          <w:szCs w:val="24"/>
          <w:lang w:val="ro-MD"/>
        </w:rPr>
        <w:t>gregate bugetare</w:t>
      </w:r>
      <w:r w:rsidRPr="00312485">
        <w:rPr>
          <w:rFonts w:eastAsia="Calibri"/>
          <w:b/>
          <w:color w:val="0F243E"/>
          <w:szCs w:val="18"/>
          <w:lang w:val="ro-MD"/>
        </w:rPr>
        <w:fldChar w:fldCharType="begin"/>
      </w:r>
      <w:r w:rsidRPr="00312485">
        <w:rPr>
          <w:rFonts w:eastAsia="Calibri"/>
          <w:b/>
          <w:color w:val="0F243E"/>
          <w:szCs w:val="18"/>
          <w:lang w:val="ro-MD"/>
        </w:rPr>
        <w:instrText xml:space="preserve"> LINK Excel.Sheet.12 "C:\\Users\\diana.bobutac\\Desktop\\CBTM 2022\\Tabel 2.1-3.1_ PGB_Agregate bugetare.xlsx" "Tabel 3.2_Agregate bugetare!R2C1:R19C11" \a \f 4 \h  \* MERGEFORMAT </w:instrText>
      </w:r>
      <w:r w:rsidRPr="00312485">
        <w:rPr>
          <w:rFonts w:eastAsia="Calibri"/>
          <w:b/>
          <w:color w:val="0F243E"/>
          <w:szCs w:val="18"/>
          <w:lang w:val="ro-MD"/>
        </w:rPr>
        <w:fldChar w:fldCharType="separate"/>
      </w:r>
    </w:p>
    <w:p w14:paraId="47FB3459" w14:textId="77777777" w:rsidR="00C82678" w:rsidRPr="00312485" w:rsidRDefault="00C82678" w:rsidP="00C82678">
      <w:pPr>
        <w:ind w:firstLine="567"/>
        <w:rPr>
          <w:rFonts w:eastAsia="Calibri"/>
          <w:sz w:val="24"/>
          <w:szCs w:val="28"/>
          <w:lang w:val="ro-MD"/>
        </w:rPr>
      </w:pPr>
      <w:r w:rsidRPr="00312485">
        <w:rPr>
          <w:rFonts w:eastAsia="Calibri"/>
          <w:szCs w:val="18"/>
          <w:lang w:val="ro-MD"/>
        </w:rPr>
        <w:fldChar w:fldCharType="end"/>
      </w:r>
      <w:r w:rsidRPr="00312485">
        <w:rPr>
          <w:rFonts w:eastAsia="Calibri"/>
          <w:szCs w:val="18"/>
          <w:lang w:val="ro-MD"/>
        </w:rPr>
        <w:fldChar w:fldCharType="end"/>
      </w:r>
    </w:p>
    <w:tbl>
      <w:tblPr>
        <w:tblStyle w:val="6"/>
        <w:tblW w:w="9776" w:type="dxa"/>
        <w:tblInd w:w="-289" w:type="dxa"/>
        <w:tblLayout w:type="fixed"/>
        <w:tblLook w:val="04A0" w:firstRow="1" w:lastRow="0" w:firstColumn="1" w:lastColumn="0" w:noHBand="0" w:noVBand="1"/>
      </w:tblPr>
      <w:tblGrid>
        <w:gridCol w:w="1129"/>
        <w:gridCol w:w="918"/>
        <w:gridCol w:w="883"/>
        <w:gridCol w:w="919"/>
        <w:gridCol w:w="928"/>
        <w:gridCol w:w="888"/>
        <w:gridCol w:w="847"/>
        <w:gridCol w:w="718"/>
        <w:gridCol w:w="851"/>
        <w:gridCol w:w="850"/>
        <w:gridCol w:w="845"/>
      </w:tblGrid>
      <w:tr w:rsidR="00C82678" w:rsidRPr="00312485" w14:paraId="74056833" w14:textId="77777777" w:rsidTr="00BD64BA">
        <w:trPr>
          <w:tblHeader/>
        </w:trPr>
        <w:tc>
          <w:tcPr>
            <w:tcW w:w="1129" w:type="dxa"/>
            <w:vMerge w:val="restart"/>
            <w:tcBorders>
              <w:top w:val="single" w:sz="4" w:space="0" w:color="auto"/>
              <w:left w:val="single" w:sz="4" w:space="0" w:color="auto"/>
              <w:right w:val="single" w:sz="4" w:space="0" w:color="auto"/>
            </w:tcBorders>
          </w:tcPr>
          <w:p w14:paraId="0B1422DC" w14:textId="77777777" w:rsidR="00C82678" w:rsidRPr="00312485" w:rsidRDefault="00C82678" w:rsidP="00C82678">
            <w:pPr>
              <w:ind w:firstLine="0"/>
              <w:jc w:val="center"/>
              <w:rPr>
                <w:rFonts w:ascii="Times New Roman" w:hAnsi="Times New Roman"/>
                <w:b/>
                <w:bCs/>
                <w:sz w:val="16"/>
                <w:szCs w:val="16"/>
                <w:lang w:val="ro-MD"/>
              </w:rPr>
            </w:pPr>
          </w:p>
        </w:tc>
        <w:tc>
          <w:tcPr>
            <w:tcW w:w="4536" w:type="dxa"/>
            <w:gridSpan w:val="5"/>
            <w:tcBorders>
              <w:top w:val="single" w:sz="4" w:space="0" w:color="auto"/>
              <w:left w:val="single" w:sz="4" w:space="0" w:color="auto"/>
              <w:right w:val="single" w:sz="4" w:space="0" w:color="auto"/>
            </w:tcBorders>
          </w:tcPr>
          <w:p w14:paraId="1E8A1450"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color w:val="000000"/>
                <w:sz w:val="16"/>
                <w:szCs w:val="16"/>
                <w:lang w:val="ro-MD"/>
              </w:rPr>
              <w:t>mil. lei</w:t>
            </w:r>
          </w:p>
        </w:tc>
        <w:tc>
          <w:tcPr>
            <w:tcW w:w="4111" w:type="dxa"/>
            <w:gridSpan w:val="5"/>
            <w:tcBorders>
              <w:top w:val="single" w:sz="4" w:space="0" w:color="auto"/>
              <w:left w:val="single" w:sz="4" w:space="0" w:color="auto"/>
              <w:bottom w:val="single" w:sz="4" w:space="0" w:color="auto"/>
              <w:right w:val="single" w:sz="4" w:space="0" w:color="auto"/>
            </w:tcBorders>
          </w:tcPr>
          <w:p w14:paraId="3239F1FE"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color w:val="000000"/>
                <w:sz w:val="16"/>
                <w:szCs w:val="16"/>
                <w:lang w:val="ro-MD"/>
              </w:rPr>
              <w:t>% din PIB</w:t>
            </w:r>
          </w:p>
        </w:tc>
      </w:tr>
      <w:tr w:rsidR="00C82678" w:rsidRPr="00312485" w14:paraId="0D90A203" w14:textId="77777777" w:rsidTr="00992A58">
        <w:trPr>
          <w:trHeight w:val="306"/>
          <w:tblHeader/>
        </w:trPr>
        <w:tc>
          <w:tcPr>
            <w:tcW w:w="1129" w:type="dxa"/>
            <w:vMerge/>
            <w:tcBorders>
              <w:left w:val="single" w:sz="4" w:space="0" w:color="auto"/>
              <w:right w:val="single" w:sz="4" w:space="0" w:color="auto"/>
            </w:tcBorders>
          </w:tcPr>
          <w:p w14:paraId="0E7B5EF2" w14:textId="77777777" w:rsidR="00C82678" w:rsidRPr="00312485" w:rsidRDefault="00C82678" w:rsidP="00C82678">
            <w:pPr>
              <w:ind w:firstLine="0"/>
              <w:jc w:val="center"/>
              <w:rPr>
                <w:rFonts w:ascii="Times New Roman" w:hAnsi="Times New Roman"/>
                <w:b/>
                <w:bCs/>
                <w:sz w:val="16"/>
                <w:szCs w:val="16"/>
                <w:lang w:val="ro-MD"/>
              </w:rPr>
            </w:pPr>
          </w:p>
        </w:tc>
        <w:tc>
          <w:tcPr>
            <w:tcW w:w="918" w:type="dxa"/>
            <w:tcBorders>
              <w:top w:val="single" w:sz="4" w:space="0" w:color="auto"/>
              <w:left w:val="nil"/>
              <w:bottom w:val="nil"/>
              <w:right w:val="single" w:sz="4" w:space="0" w:color="auto"/>
            </w:tcBorders>
            <w:vAlign w:val="center"/>
            <w:hideMark/>
          </w:tcPr>
          <w:p w14:paraId="2DF62B7A"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2025</w:t>
            </w:r>
          </w:p>
        </w:tc>
        <w:tc>
          <w:tcPr>
            <w:tcW w:w="883" w:type="dxa"/>
            <w:tcBorders>
              <w:top w:val="single" w:sz="4" w:space="0" w:color="auto"/>
              <w:left w:val="single" w:sz="4" w:space="0" w:color="auto"/>
              <w:bottom w:val="nil"/>
              <w:right w:val="single" w:sz="4" w:space="0" w:color="auto"/>
            </w:tcBorders>
            <w:vAlign w:val="center"/>
          </w:tcPr>
          <w:p w14:paraId="57EEBEB0" w14:textId="77777777" w:rsidR="00C82678" w:rsidRPr="00312485" w:rsidRDefault="00C82678" w:rsidP="00C82678">
            <w:pPr>
              <w:ind w:firstLine="0"/>
              <w:jc w:val="center"/>
              <w:rPr>
                <w:rFonts w:ascii="Times New Roman" w:hAnsi="Times New Roman"/>
                <w:b/>
                <w:bCs/>
                <w:color w:val="000000"/>
                <w:sz w:val="16"/>
                <w:szCs w:val="16"/>
                <w:lang w:val="ro-MD"/>
              </w:rPr>
            </w:pPr>
            <w:r w:rsidRPr="00312485">
              <w:rPr>
                <w:rFonts w:ascii="Times New Roman" w:hAnsi="Times New Roman"/>
                <w:b/>
                <w:bCs/>
                <w:color w:val="000000"/>
                <w:sz w:val="16"/>
                <w:szCs w:val="16"/>
                <w:lang w:val="ro-MD"/>
              </w:rPr>
              <w:t>2025</w:t>
            </w:r>
          </w:p>
        </w:tc>
        <w:tc>
          <w:tcPr>
            <w:tcW w:w="919" w:type="dxa"/>
            <w:tcBorders>
              <w:top w:val="single" w:sz="4" w:space="0" w:color="auto"/>
              <w:left w:val="single" w:sz="4" w:space="0" w:color="auto"/>
              <w:bottom w:val="nil"/>
              <w:right w:val="single" w:sz="4" w:space="0" w:color="auto"/>
            </w:tcBorders>
            <w:vAlign w:val="center"/>
            <w:hideMark/>
          </w:tcPr>
          <w:p w14:paraId="7D1637D5"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2026</w:t>
            </w:r>
            <w:r w:rsidRPr="00312485">
              <w:rPr>
                <w:rFonts w:ascii="Times New Roman" w:hAnsi="Times New Roman"/>
                <w:b/>
                <w:color w:val="000000"/>
                <w:sz w:val="16"/>
                <w:szCs w:val="16"/>
                <w:lang w:val="ro-MD"/>
              </w:rPr>
              <w:t xml:space="preserve"> </w:t>
            </w:r>
          </w:p>
        </w:tc>
        <w:tc>
          <w:tcPr>
            <w:tcW w:w="928" w:type="dxa"/>
            <w:tcBorders>
              <w:top w:val="single" w:sz="4" w:space="0" w:color="auto"/>
              <w:left w:val="single" w:sz="4" w:space="0" w:color="auto"/>
              <w:bottom w:val="nil"/>
              <w:right w:val="single" w:sz="4" w:space="0" w:color="auto"/>
            </w:tcBorders>
            <w:vAlign w:val="center"/>
            <w:hideMark/>
          </w:tcPr>
          <w:p w14:paraId="5868D4AC"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2027</w:t>
            </w:r>
            <w:r w:rsidRPr="00312485">
              <w:rPr>
                <w:rFonts w:ascii="Times New Roman" w:hAnsi="Times New Roman"/>
                <w:b/>
                <w:color w:val="000000"/>
                <w:sz w:val="16"/>
                <w:szCs w:val="16"/>
                <w:lang w:val="ro-MD"/>
              </w:rPr>
              <w:t xml:space="preserve"> </w:t>
            </w:r>
          </w:p>
        </w:tc>
        <w:tc>
          <w:tcPr>
            <w:tcW w:w="888" w:type="dxa"/>
            <w:tcBorders>
              <w:top w:val="single" w:sz="4" w:space="0" w:color="auto"/>
              <w:left w:val="single" w:sz="4" w:space="0" w:color="auto"/>
              <w:bottom w:val="nil"/>
              <w:right w:val="single" w:sz="4" w:space="0" w:color="auto"/>
            </w:tcBorders>
            <w:vAlign w:val="center"/>
            <w:hideMark/>
          </w:tcPr>
          <w:p w14:paraId="48B3B2B6"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2028</w:t>
            </w:r>
            <w:r w:rsidRPr="00312485">
              <w:rPr>
                <w:rFonts w:ascii="Times New Roman" w:hAnsi="Times New Roman"/>
                <w:b/>
                <w:color w:val="000000"/>
                <w:sz w:val="16"/>
                <w:szCs w:val="16"/>
                <w:lang w:val="ro-MD"/>
              </w:rPr>
              <w:t xml:space="preserve"> </w:t>
            </w:r>
          </w:p>
        </w:tc>
        <w:tc>
          <w:tcPr>
            <w:tcW w:w="847" w:type="dxa"/>
            <w:tcBorders>
              <w:top w:val="single" w:sz="4" w:space="0" w:color="auto"/>
              <w:left w:val="single" w:sz="4" w:space="0" w:color="auto"/>
              <w:bottom w:val="nil"/>
              <w:right w:val="single" w:sz="4" w:space="0" w:color="auto"/>
            </w:tcBorders>
            <w:vAlign w:val="center"/>
            <w:hideMark/>
          </w:tcPr>
          <w:p w14:paraId="30DBBCFF"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2025</w:t>
            </w:r>
          </w:p>
        </w:tc>
        <w:tc>
          <w:tcPr>
            <w:tcW w:w="718" w:type="dxa"/>
            <w:tcBorders>
              <w:top w:val="single" w:sz="4" w:space="0" w:color="auto"/>
              <w:left w:val="single" w:sz="4" w:space="0" w:color="auto"/>
              <w:bottom w:val="nil"/>
              <w:right w:val="single" w:sz="4" w:space="0" w:color="auto"/>
            </w:tcBorders>
            <w:vAlign w:val="center"/>
            <w:hideMark/>
          </w:tcPr>
          <w:p w14:paraId="78EE440C"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2025</w:t>
            </w:r>
            <w:r w:rsidRPr="00312485">
              <w:rPr>
                <w:rFonts w:ascii="Times New Roman" w:hAnsi="Times New Roman"/>
                <w:b/>
                <w:color w:val="000000"/>
                <w:sz w:val="16"/>
                <w:szCs w:val="16"/>
                <w:lang w:val="ro-MD"/>
              </w:rPr>
              <w:t xml:space="preserve"> </w:t>
            </w:r>
          </w:p>
        </w:tc>
        <w:tc>
          <w:tcPr>
            <w:tcW w:w="851" w:type="dxa"/>
            <w:tcBorders>
              <w:top w:val="single" w:sz="4" w:space="0" w:color="auto"/>
              <w:left w:val="single" w:sz="4" w:space="0" w:color="auto"/>
              <w:bottom w:val="nil"/>
              <w:right w:val="single" w:sz="4" w:space="0" w:color="auto"/>
            </w:tcBorders>
            <w:vAlign w:val="center"/>
          </w:tcPr>
          <w:p w14:paraId="67B57026" w14:textId="77777777" w:rsidR="00C82678" w:rsidRPr="00312485" w:rsidRDefault="00C82678" w:rsidP="00C82678">
            <w:pPr>
              <w:ind w:firstLine="0"/>
              <w:jc w:val="center"/>
              <w:rPr>
                <w:rFonts w:ascii="Times New Roman" w:hAnsi="Times New Roman"/>
                <w:b/>
                <w:bCs/>
                <w:color w:val="000000"/>
                <w:sz w:val="16"/>
                <w:szCs w:val="16"/>
                <w:lang w:val="ro-MD"/>
              </w:rPr>
            </w:pPr>
            <w:r w:rsidRPr="00312485">
              <w:rPr>
                <w:rFonts w:ascii="Times New Roman" w:hAnsi="Times New Roman"/>
                <w:b/>
                <w:bCs/>
                <w:color w:val="000000"/>
                <w:sz w:val="16"/>
                <w:szCs w:val="16"/>
                <w:lang w:val="ro-MD"/>
              </w:rPr>
              <w:t>2026</w:t>
            </w:r>
          </w:p>
        </w:tc>
        <w:tc>
          <w:tcPr>
            <w:tcW w:w="850" w:type="dxa"/>
            <w:tcBorders>
              <w:top w:val="single" w:sz="4" w:space="0" w:color="auto"/>
              <w:left w:val="single" w:sz="4" w:space="0" w:color="auto"/>
              <w:bottom w:val="nil"/>
              <w:right w:val="single" w:sz="4" w:space="0" w:color="auto"/>
            </w:tcBorders>
            <w:vAlign w:val="center"/>
            <w:hideMark/>
          </w:tcPr>
          <w:p w14:paraId="369C624F"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2027</w:t>
            </w:r>
            <w:r w:rsidRPr="00312485">
              <w:rPr>
                <w:rFonts w:ascii="Times New Roman" w:hAnsi="Times New Roman"/>
                <w:b/>
                <w:color w:val="000000"/>
                <w:sz w:val="16"/>
                <w:szCs w:val="16"/>
                <w:lang w:val="ro-MD"/>
              </w:rPr>
              <w:t xml:space="preserve"> </w:t>
            </w:r>
          </w:p>
        </w:tc>
        <w:tc>
          <w:tcPr>
            <w:tcW w:w="845" w:type="dxa"/>
            <w:tcBorders>
              <w:top w:val="single" w:sz="4" w:space="0" w:color="auto"/>
              <w:left w:val="single" w:sz="4" w:space="0" w:color="auto"/>
              <w:bottom w:val="nil"/>
              <w:right w:val="single" w:sz="4" w:space="0" w:color="auto"/>
            </w:tcBorders>
            <w:vAlign w:val="center"/>
            <w:hideMark/>
          </w:tcPr>
          <w:p w14:paraId="287437E2" w14:textId="77777777" w:rsidR="00C82678" w:rsidRPr="00312485" w:rsidRDefault="00C82678" w:rsidP="00C82678">
            <w:pPr>
              <w:ind w:firstLine="0"/>
              <w:jc w:val="center"/>
              <w:rPr>
                <w:rFonts w:ascii="Times New Roman" w:hAnsi="Times New Roman"/>
                <w:b/>
                <w:bCs/>
                <w:sz w:val="16"/>
                <w:szCs w:val="16"/>
                <w:lang w:val="ro-MD"/>
              </w:rPr>
            </w:pPr>
            <w:r w:rsidRPr="00312485">
              <w:rPr>
                <w:rFonts w:ascii="Times New Roman" w:hAnsi="Times New Roman"/>
                <w:b/>
                <w:bCs/>
                <w:color w:val="000000"/>
                <w:sz w:val="16"/>
                <w:szCs w:val="16"/>
                <w:lang w:val="ro-MD"/>
              </w:rPr>
              <w:t>2028</w:t>
            </w:r>
            <w:r w:rsidRPr="00312485">
              <w:rPr>
                <w:rFonts w:ascii="Times New Roman" w:hAnsi="Times New Roman"/>
                <w:b/>
                <w:color w:val="000000"/>
                <w:sz w:val="16"/>
                <w:szCs w:val="16"/>
                <w:lang w:val="ro-MD"/>
              </w:rPr>
              <w:t xml:space="preserve"> </w:t>
            </w:r>
          </w:p>
        </w:tc>
      </w:tr>
      <w:tr w:rsidR="00C82678" w:rsidRPr="00312485" w14:paraId="3C7EF958" w14:textId="77777777" w:rsidTr="00992A58">
        <w:trPr>
          <w:trHeight w:val="108"/>
          <w:tblHeader/>
        </w:trPr>
        <w:tc>
          <w:tcPr>
            <w:tcW w:w="1129" w:type="dxa"/>
            <w:vMerge/>
            <w:tcBorders>
              <w:left w:val="single" w:sz="4" w:space="0" w:color="auto"/>
              <w:bottom w:val="single" w:sz="4" w:space="0" w:color="auto"/>
              <w:right w:val="single" w:sz="4" w:space="0" w:color="auto"/>
            </w:tcBorders>
            <w:vAlign w:val="center"/>
            <w:hideMark/>
          </w:tcPr>
          <w:p w14:paraId="00A3F674" w14:textId="77777777" w:rsidR="00C82678" w:rsidRPr="00312485" w:rsidRDefault="00C82678" w:rsidP="00C82678">
            <w:pPr>
              <w:rPr>
                <w:rFonts w:ascii="Times New Roman" w:hAnsi="Times New Roman"/>
                <w:b/>
                <w:bCs/>
                <w:sz w:val="16"/>
                <w:szCs w:val="16"/>
                <w:lang w:val="ro-MD"/>
              </w:rPr>
            </w:pPr>
          </w:p>
        </w:tc>
        <w:tc>
          <w:tcPr>
            <w:tcW w:w="918" w:type="dxa"/>
            <w:tcBorders>
              <w:top w:val="nil"/>
              <w:left w:val="nil"/>
              <w:bottom w:val="single" w:sz="4" w:space="0" w:color="auto"/>
              <w:right w:val="single" w:sz="4" w:space="0" w:color="auto"/>
            </w:tcBorders>
            <w:vAlign w:val="center"/>
            <w:hideMark/>
          </w:tcPr>
          <w:p w14:paraId="2D327DCF" w14:textId="77777777" w:rsidR="00C82678" w:rsidRPr="00312485" w:rsidRDefault="00C82678" w:rsidP="00C82678">
            <w:pPr>
              <w:ind w:left="-61" w:firstLine="0"/>
              <w:contextualSpacing/>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Aprobat</w:t>
            </w:r>
          </w:p>
        </w:tc>
        <w:tc>
          <w:tcPr>
            <w:tcW w:w="883" w:type="dxa"/>
            <w:tcBorders>
              <w:top w:val="nil"/>
              <w:left w:val="single" w:sz="4" w:space="0" w:color="auto"/>
              <w:bottom w:val="single" w:sz="4" w:space="0" w:color="auto"/>
              <w:right w:val="single" w:sz="4" w:space="0" w:color="auto"/>
            </w:tcBorders>
            <w:vAlign w:val="center"/>
          </w:tcPr>
          <w:p w14:paraId="0511347D" w14:textId="77777777" w:rsidR="00C82678" w:rsidRPr="00312485" w:rsidRDefault="00C82678" w:rsidP="00C82678">
            <w:pPr>
              <w:ind w:firstLine="0"/>
              <w:jc w:val="left"/>
              <w:rPr>
                <w:rFonts w:ascii="Times New Roman" w:hAnsi="Times New Roman"/>
                <w:b/>
                <w:color w:val="000000"/>
                <w:sz w:val="16"/>
                <w:szCs w:val="16"/>
                <w:lang w:val="ro-MD"/>
              </w:rPr>
            </w:pPr>
            <w:r w:rsidRPr="00312485">
              <w:rPr>
                <w:rFonts w:ascii="Times New Roman" w:hAnsi="Times New Roman"/>
                <w:b/>
                <w:color w:val="000000"/>
                <w:sz w:val="16"/>
                <w:szCs w:val="16"/>
                <w:lang w:val="ro-MD"/>
              </w:rPr>
              <w:t>Modificat</w:t>
            </w:r>
          </w:p>
        </w:tc>
        <w:tc>
          <w:tcPr>
            <w:tcW w:w="919" w:type="dxa"/>
            <w:tcBorders>
              <w:top w:val="nil"/>
              <w:left w:val="single" w:sz="4" w:space="0" w:color="auto"/>
              <w:bottom w:val="single" w:sz="4" w:space="0" w:color="auto"/>
              <w:right w:val="single" w:sz="4" w:space="0" w:color="auto"/>
            </w:tcBorders>
            <w:vAlign w:val="center"/>
            <w:hideMark/>
          </w:tcPr>
          <w:p w14:paraId="00174690" w14:textId="77777777" w:rsidR="00C82678" w:rsidRPr="00312485" w:rsidRDefault="00C82678" w:rsidP="00C82678">
            <w:pPr>
              <w:ind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Prognozat</w:t>
            </w:r>
          </w:p>
        </w:tc>
        <w:tc>
          <w:tcPr>
            <w:tcW w:w="928" w:type="dxa"/>
            <w:tcBorders>
              <w:top w:val="nil"/>
              <w:left w:val="single" w:sz="4" w:space="0" w:color="auto"/>
              <w:bottom w:val="single" w:sz="4" w:space="0" w:color="auto"/>
              <w:right w:val="single" w:sz="4" w:space="0" w:color="auto"/>
            </w:tcBorders>
            <w:vAlign w:val="center"/>
            <w:hideMark/>
          </w:tcPr>
          <w:p w14:paraId="17FAC56A" w14:textId="77777777" w:rsidR="00C82678" w:rsidRPr="00312485" w:rsidRDefault="00C82678" w:rsidP="00C82678">
            <w:pPr>
              <w:ind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Prognozat</w:t>
            </w:r>
          </w:p>
        </w:tc>
        <w:tc>
          <w:tcPr>
            <w:tcW w:w="888" w:type="dxa"/>
            <w:tcBorders>
              <w:top w:val="nil"/>
              <w:left w:val="single" w:sz="4" w:space="0" w:color="auto"/>
              <w:bottom w:val="single" w:sz="4" w:space="0" w:color="auto"/>
              <w:right w:val="single" w:sz="4" w:space="0" w:color="auto"/>
            </w:tcBorders>
            <w:vAlign w:val="center"/>
            <w:hideMark/>
          </w:tcPr>
          <w:p w14:paraId="0A742D18" w14:textId="77777777" w:rsidR="00C82678" w:rsidRPr="00312485" w:rsidRDefault="00C82678" w:rsidP="00992A58">
            <w:pPr>
              <w:ind w:left="-61"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Prognozat</w:t>
            </w:r>
          </w:p>
        </w:tc>
        <w:tc>
          <w:tcPr>
            <w:tcW w:w="847" w:type="dxa"/>
            <w:tcBorders>
              <w:top w:val="nil"/>
              <w:left w:val="single" w:sz="4" w:space="0" w:color="auto"/>
              <w:bottom w:val="single" w:sz="4" w:space="0" w:color="auto"/>
              <w:right w:val="single" w:sz="4" w:space="0" w:color="auto"/>
            </w:tcBorders>
            <w:vAlign w:val="center"/>
            <w:hideMark/>
          </w:tcPr>
          <w:p w14:paraId="25F2B656" w14:textId="77777777" w:rsidR="00C82678" w:rsidRPr="00312485" w:rsidRDefault="00C82678" w:rsidP="00C82678">
            <w:pPr>
              <w:ind w:left="-61" w:firstLine="0"/>
              <w:contextualSpacing/>
              <w:jc w:val="center"/>
              <w:rPr>
                <w:rFonts w:ascii="Times New Roman" w:hAnsi="Times New Roman"/>
                <w:b/>
                <w:color w:val="000000"/>
                <w:sz w:val="16"/>
                <w:szCs w:val="16"/>
                <w:lang w:val="ro-MD"/>
              </w:rPr>
            </w:pPr>
            <w:r w:rsidRPr="00312485">
              <w:rPr>
                <w:rFonts w:ascii="Times New Roman" w:hAnsi="Times New Roman"/>
                <w:b/>
                <w:color w:val="000000"/>
                <w:sz w:val="16"/>
                <w:szCs w:val="16"/>
                <w:lang w:val="ro-MD"/>
              </w:rPr>
              <w:t>Aprobat</w:t>
            </w:r>
          </w:p>
        </w:tc>
        <w:tc>
          <w:tcPr>
            <w:tcW w:w="718" w:type="dxa"/>
            <w:tcBorders>
              <w:top w:val="nil"/>
              <w:left w:val="single" w:sz="4" w:space="0" w:color="auto"/>
              <w:bottom w:val="single" w:sz="4" w:space="0" w:color="auto"/>
              <w:right w:val="single" w:sz="4" w:space="0" w:color="auto"/>
            </w:tcBorders>
            <w:vAlign w:val="center"/>
            <w:hideMark/>
          </w:tcPr>
          <w:p w14:paraId="6B49CB40" w14:textId="77777777" w:rsidR="00C82678" w:rsidRPr="00312485" w:rsidRDefault="00C82678" w:rsidP="00992A58">
            <w:pPr>
              <w:ind w:left="-100" w:right="-103"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Modificat</w:t>
            </w:r>
          </w:p>
        </w:tc>
        <w:tc>
          <w:tcPr>
            <w:tcW w:w="851" w:type="dxa"/>
            <w:tcBorders>
              <w:top w:val="nil"/>
              <w:left w:val="single" w:sz="4" w:space="0" w:color="auto"/>
              <w:bottom w:val="single" w:sz="4" w:space="0" w:color="auto"/>
              <w:right w:val="single" w:sz="4" w:space="0" w:color="auto"/>
            </w:tcBorders>
            <w:vAlign w:val="center"/>
          </w:tcPr>
          <w:p w14:paraId="090749A5" w14:textId="77777777" w:rsidR="00C82678" w:rsidRPr="00312485" w:rsidRDefault="00C82678" w:rsidP="00992A58">
            <w:pPr>
              <w:ind w:left="-101" w:right="-104" w:firstLine="0"/>
              <w:jc w:val="center"/>
              <w:rPr>
                <w:rFonts w:ascii="Times New Roman" w:hAnsi="Times New Roman"/>
                <w:b/>
                <w:color w:val="000000"/>
                <w:sz w:val="16"/>
                <w:szCs w:val="16"/>
                <w:lang w:val="ro-MD"/>
              </w:rPr>
            </w:pPr>
            <w:r w:rsidRPr="00312485">
              <w:rPr>
                <w:rFonts w:ascii="Times New Roman" w:hAnsi="Times New Roman"/>
                <w:b/>
                <w:color w:val="000000"/>
                <w:sz w:val="16"/>
                <w:szCs w:val="16"/>
                <w:lang w:val="ro-MD"/>
              </w:rPr>
              <w:t>Prognozat</w:t>
            </w:r>
          </w:p>
        </w:tc>
        <w:tc>
          <w:tcPr>
            <w:tcW w:w="850" w:type="dxa"/>
            <w:tcBorders>
              <w:top w:val="nil"/>
              <w:left w:val="single" w:sz="4" w:space="0" w:color="auto"/>
              <w:bottom w:val="single" w:sz="4" w:space="0" w:color="auto"/>
              <w:right w:val="single" w:sz="4" w:space="0" w:color="auto"/>
            </w:tcBorders>
            <w:vAlign w:val="center"/>
            <w:hideMark/>
          </w:tcPr>
          <w:p w14:paraId="77A0E7ED" w14:textId="77777777" w:rsidR="00C82678" w:rsidRPr="00312485" w:rsidRDefault="00C82678" w:rsidP="00992A58">
            <w:pPr>
              <w:ind w:left="-104" w:right="-111"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Prognozat</w:t>
            </w:r>
          </w:p>
        </w:tc>
        <w:tc>
          <w:tcPr>
            <w:tcW w:w="845" w:type="dxa"/>
            <w:tcBorders>
              <w:top w:val="nil"/>
              <w:left w:val="single" w:sz="4" w:space="0" w:color="auto"/>
              <w:bottom w:val="single" w:sz="4" w:space="0" w:color="auto"/>
              <w:right w:val="single" w:sz="4" w:space="0" w:color="auto"/>
            </w:tcBorders>
            <w:vAlign w:val="center"/>
            <w:hideMark/>
          </w:tcPr>
          <w:p w14:paraId="72EE56A5" w14:textId="77777777" w:rsidR="00C82678" w:rsidRPr="00312485" w:rsidRDefault="00C82678" w:rsidP="00992A58">
            <w:pPr>
              <w:ind w:left="-109" w:firstLine="0"/>
              <w:jc w:val="center"/>
              <w:rPr>
                <w:rFonts w:ascii="Times New Roman" w:hAnsi="Times New Roman"/>
                <w:b/>
                <w:bCs/>
                <w:color w:val="000000"/>
                <w:sz w:val="16"/>
                <w:szCs w:val="16"/>
                <w:lang w:val="ro-MD"/>
              </w:rPr>
            </w:pPr>
            <w:r w:rsidRPr="00312485">
              <w:rPr>
                <w:rFonts w:ascii="Times New Roman" w:hAnsi="Times New Roman"/>
                <w:b/>
                <w:color w:val="000000"/>
                <w:sz w:val="16"/>
                <w:szCs w:val="16"/>
                <w:lang w:val="ro-MD"/>
              </w:rPr>
              <w:t>Prognozat</w:t>
            </w:r>
          </w:p>
        </w:tc>
      </w:tr>
      <w:tr w:rsidR="00C82678" w:rsidRPr="00312485" w14:paraId="549A9FBA" w14:textId="77777777" w:rsidTr="00992A58">
        <w:trPr>
          <w:trHeight w:val="366"/>
        </w:trPr>
        <w:tc>
          <w:tcPr>
            <w:tcW w:w="1129" w:type="dxa"/>
            <w:tcBorders>
              <w:top w:val="single" w:sz="4" w:space="0" w:color="auto"/>
              <w:left w:val="single" w:sz="4" w:space="0" w:color="auto"/>
              <w:bottom w:val="single" w:sz="4" w:space="0" w:color="auto"/>
              <w:right w:val="single" w:sz="4" w:space="0" w:color="auto"/>
            </w:tcBorders>
            <w:vAlign w:val="center"/>
            <w:hideMark/>
          </w:tcPr>
          <w:p w14:paraId="6E30731E" w14:textId="77777777" w:rsidR="00C82678" w:rsidRPr="00312485" w:rsidRDefault="00C82678" w:rsidP="00C82678">
            <w:pPr>
              <w:ind w:firstLine="0"/>
              <w:rPr>
                <w:rFonts w:ascii="Times New Roman" w:hAnsi="Times New Roman"/>
                <w:b/>
                <w:bCs/>
                <w:sz w:val="16"/>
                <w:szCs w:val="16"/>
                <w:lang w:val="ro-MD"/>
              </w:rPr>
            </w:pPr>
            <w:r w:rsidRPr="00312485">
              <w:rPr>
                <w:rFonts w:ascii="Times New Roman" w:hAnsi="Times New Roman"/>
                <w:b/>
                <w:bCs/>
                <w:color w:val="000000"/>
                <w:sz w:val="16"/>
                <w:szCs w:val="16"/>
                <w:lang w:val="ro-MD"/>
              </w:rPr>
              <w:t>Total venituri</w:t>
            </w:r>
          </w:p>
        </w:tc>
        <w:tc>
          <w:tcPr>
            <w:tcW w:w="918" w:type="dxa"/>
            <w:tcBorders>
              <w:top w:val="single" w:sz="4" w:space="0" w:color="auto"/>
              <w:left w:val="nil"/>
              <w:bottom w:val="single" w:sz="4" w:space="0" w:color="auto"/>
              <w:right w:val="single" w:sz="4" w:space="0" w:color="auto"/>
            </w:tcBorders>
            <w:vAlign w:val="center"/>
            <w:hideMark/>
          </w:tcPr>
          <w:p w14:paraId="53BD310C" w14:textId="3A28109B"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119</w:t>
            </w:r>
            <w:r w:rsidR="00F42CDA" w:rsidRPr="00312485">
              <w:rPr>
                <w:rFonts w:cs="Calibri"/>
                <w:b/>
                <w:bCs/>
                <w:color w:val="000000"/>
                <w:sz w:val="16"/>
                <w:szCs w:val="16"/>
                <w:lang w:val="ro-MD"/>
              </w:rPr>
              <w:t xml:space="preserve"> </w:t>
            </w:r>
            <w:r w:rsidRPr="00312485">
              <w:rPr>
                <w:rFonts w:cs="Calibri"/>
                <w:b/>
                <w:bCs/>
                <w:color w:val="000000"/>
                <w:sz w:val="16"/>
                <w:szCs w:val="16"/>
                <w:lang w:val="ro-MD"/>
              </w:rPr>
              <w:t>253</w:t>
            </w:r>
          </w:p>
        </w:tc>
        <w:tc>
          <w:tcPr>
            <w:tcW w:w="883" w:type="dxa"/>
            <w:tcBorders>
              <w:top w:val="single" w:sz="4" w:space="0" w:color="auto"/>
              <w:left w:val="single" w:sz="4" w:space="0" w:color="auto"/>
              <w:bottom w:val="single" w:sz="4" w:space="0" w:color="auto"/>
              <w:right w:val="single" w:sz="4" w:space="0" w:color="auto"/>
            </w:tcBorders>
            <w:vAlign w:val="center"/>
          </w:tcPr>
          <w:p w14:paraId="1C0F699C" w14:textId="1C643CD4" w:rsidR="00C82678" w:rsidRPr="00312485" w:rsidRDefault="00C82678" w:rsidP="00F42CDA">
            <w:pPr>
              <w:ind w:firstLine="0"/>
              <w:jc w:val="center"/>
              <w:rPr>
                <w:rFonts w:cs="Calibri"/>
                <w:b/>
                <w:bCs/>
                <w:color w:val="000000"/>
                <w:sz w:val="16"/>
                <w:szCs w:val="16"/>
                <w:lang w:val="ro-MD"/>
              </w:rPr>
            </w:pPr>
            <w:r w:rsidRPr="00312485">
              <w:rPr>
                <w:rFonts w:cs="Calibri"/>
                <w:b/>
                <w:bCs/>
                <w:color w:val="000000"/>
                <w:sz w:val="16"/>
                <w:szCs w:val="16"/>
                <w:lang w:val="ro-MD"/>
              </w:rPr>
              <w:t>124</w:t>
            </w:r>
            <w:r w:rsidR="00F42CDA" w:rsidRPr="00312485">
              <w:rPr>
                <w:rFonts w:cs="Calibri"/>
                <w:b/>
                <w:bCs/>
                <w:color w:val="000000"/>
                <w:sz w:val="16"/>
                <w:szCs w:val="16"/>
                <w:lang w:val="ro-MD"/>
              </w:rPr>
              <w:t xml:space="preserve"> </w:t>
            </w:r>
            <w:r w:rsidRPr="00312485">
              <w:rPr>
                <w:rFonts w:cs="Calibri"/>
                <w:b/>
                <w:bCs/>
                <w:color w:val="000000"/>
                <w:sz w:val="16"/>
                <w:szCs w:val="16"/>
                <w:lang w:val="ro-MD"/>
              </w:rPr>
              <w:t>052</w:t>
            </w:r>
          </w:p>
        </w:tc>
        <w:tc>
          <w:tcPr>
            <w:tcW w:w="919" w:type="dxa"/>
            <w:tcBorders>
              <w:top w:val="single" w:sz="4" w:space="0" w:color="auto"/>
              <w:left w:val="single" w:sz="4" w:space="0" w:color="auto"/>
              <w:bottom w:val="single" w:sz="4" w:space="0" w:color="auto"/>
              <w:right w:val="single" w:sz="4" w:space="0" w:color="auto"/>
            </w:tcBorders>
            <w:vAlign w:val="center"/>
            <w:hideMark/>
          </w:tcPr>
          <w:p w14:paraId="16534DC1" w14:textId="5682269B"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131</w:t>
            </w:r>
            <w:r w:rsidR="00F42CDA" w:rsidRPr="00312485">
              <w:rPr>
                <w:rFonts w:cs="Calibri"/>
                <w:b/>
                <w:bCs/>
                <w:color w:val="000000"/>
                <w:sz w:val="16"/>
                <w:szCs w:val="16"/>
                <w:lang w:val="ro-MD"/>
              </w:rPr>
              <w:t xml:space="preserve"> </w:t>
            </w:r>
            <w:r w:rsidRPr="00312485">
              <w:rPr>
                <w:rFonts w:cs="Calibri"/>
                <w:b/>
                <w:bCs/>
                <w:color w:val="000000"/>
                <w:sz w:val="16"/>
                <w:szCs w:val="16"/>
                <w:lang w:val="ro-MD"/>
              </w:rPr>
              <w:t>904</w:t>
            </w:r>
          </w:p>
        </w:tc>
        <w:tc>
          <w:tcPr>
            <w:tcW w:w="928" w:type="dxa"/>
            <w:tcBorders>
              <w:top w:val="single" w:sz="4" w:space="0" w:color="auto"/>
              <w:left w:val="single" w:sz="4" w:space="0" w:color="auto"/>
              <w:bottom w:val="single" w:sz="4" w:space="0" w:color="auto"/>
              <w:right w:val="single" w:sz="4" w:space="0" w:color="auto"/>
            </w:tcBorders>
            <w:vAlign w:val="center"/>
            <w:hideMark/>
          </w:tcPr>
          <w:p w14:paraId="14DAB4EA" w14:textId="4F1E4AA4"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143</w:t>
            </w:r>
            <w:r w:rsidR="00F42CDA" w:rsidRPr="00312485">
              <w:rPr>
                <w:rFonts w:cs="Calibri"/>
                <w:b/>
                <w:bCs/>
                <w:color w:val="000000"/>
                <w:sz w:val="16"/>
                <w:szCs w:val="16"/>
                <w:lang w:val="ro-MD"/>
              </w:rPr>
              <w:t xml:space="preserve"> </w:t>
            </w:r>
            <w:r w:rsidRPr="00312485">
              <w:rPr>
                <w:rFonts w:cs="Calibri"/>
                <w:b/>
                <w:bCs/>
                <w:color w:val="000000"/>
                <w:sz w:val="16"/>
                <w:szCs w:val="16"/>
                <w:lang w:val="ro-MD"/>
              </w:rPr>
              <w:t>394</w:t>
            </w:r>
          </w:p>
        </w:tc>
        <w:tc>
          <w:tcPr>
            <w:tcW w:w="888" w:type="dxa"/>
            <w:tcBorders>
              <w:top w:val="single" w:sz="4" w:space="0" w:color="auto"/>
              <w:left w:val="single" w:sz="4" w:space="0" w:color="auto"/>
              <w:bottom w:val="single" w:sz="4" w:space="0" w:color="auto"/>
              <w:right w:val="single" w:sz="4" w:space="0" w:color="auto"/>
            </w:tcBorders>
            <w:vAlign w:val="center"/>
            <w:hideMark/>
          </w:tcPr>
          <w:p w14:paraId="255B39A5" w14:textId="6B5CD1AB"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155</w:t>
            </w:r>
            <w:r w:rsidR="00F42CDA" w:rsidRPr="00312485">
              <w:rPr>
                <w:rFonts w:cs="Calibri"/>
                <w:b/>
                <w:bCs/>
                <w:color w:val="000000"/>
                <w:sz w:val="16"/>
                <w:szCs w:val="16"/>
                <w:lang w:val="ro-MD"/>
              </w:rPr>
              <w:t xml:space="preserve"> </w:t>
            </w:r>
            <w:r w:rsidRPr="00312485">
              <w:rPr>
                <w:rFonts w:cs="Calibri"/>
                <w:b/>
                <w:bCs/>
                <w:color w:val="000000"/>
                <w:sz w:val="16"/>
                <w:szCs w:val="16"/>
                <w:lang w:val="ro-MD"/>
              </w:rPr>
              <w:t>806</w:t>
            </w:r>
          </w:p>
        </w:tc>
        <w:tc>
          <w:tcPr>
            <w:tcW w:w="847" w:type="dxa"/>
            <w:tcBorders>
              <w:top w:val="single" w:sz="4" w:space="0" w:color="auto"/>
              <w:left w:val="dashed" w:sz="8" w:space="0" w:color="auto"/>
              <w:bottom w:val="single" w:sz="4" w:space="0" w:color="auto"/>
              <w:right w:val="single" w:sz="4" w:space="0" w:color="auto"/>
            </w:tcBorders>
            <w:vAlign w:val="center"/>
            <w:hideMark/>
          </w:tcPr>
          <w:p w14:paraId="37BF311B"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34,2%</w:t>
            </w:r>
          </w:p>
        </w:tc>
        <w:tc>
          <w:tcPr>
            <w:tcW w:w="718" w:type="dxa"/>
            <w:tcBorders>
              <w:top w:val="single" w:sz="4" w:space="0" w:color="auto"/>
              <w:left w:val="single" w:sz="4" w:space="0" w:color="auto"/>
              <w:bottom w:val="single" w:sz="4" w:space="0" w:color="auto"/>
              <w:right w:val="single" w:sz="4" w:space="0" w:color="auto"/>
            </w:tcBorders>
            <w:vAlign w:val="center"/>
            <w:hideMark/>
          </w:tcPr>
          <w:p w14:paraId="3CCB9B32"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35,3%</w:t>
            </w:r>
          </w:p>
        </w:tc>
        <w:tc>
          <w:tcPr>
            <w:tcW w:w="851" w:type="dxa"/>
            <w:tcBorders>
              <w:top w:val="single" w:sz="4" w:space="0" w:color="auto"/>
              <w:left w:val="single" w:sz="4" w:space="0" w:color="auto"/>
              <w:bottom w:val="single" w:sz="4" w:space="0" w:color="auto"/>
              <w:right w:val="single" w:sz="4" w:space="0" w:color="auto"/>
            </w:tcBorders>
            <w:vAlign w:val="center"/>
          </w:tcPr>
          <w:p w14:paraId="6A0DA474" w14:textId="77777777" w:rsidR="00C82678" w:rsidRPr="00312485" w:rsidRDefault="00C82678" w:rsidP="00C82678">
            <w:pPr>
              <w:ind w:firstLine="0"/>
              <w:jc w:val="center"/>
              <w:rPr>
                <w:rFonts w:cs="Calibri"/>
                <w:b/>
                <w:bCs/>
                <w:color w:val="000000"/>
                <w:sz w:val="16"/>
                <w:szCs w:val="16"/>
                <w:lang w:val="ro-MD"/>
              </w:rPr>
            </w:pPr>
            <w:r w:rsidRPr="00312485">
              <w:rPr>
                <w:rFonts w:cs="Calibri"/>
                <w:b/>
                <w:bCs/>
                <w:color w:val="000000"/>
                <w:sz w:val="16"/>
                <w:szCs w:val="16"/>
                <w:lang w:val="ro-MD"/>
              </w:rPr>
              <w:t>34,7%</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6AE76F"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34,8%</w:t>
            </w:r>
          </w:p>
        </w:tc>
        <w:tc>
          <w:tcPr>
            <w:tcW w:w="845" w:type="dxa"/>
            <w:tcBorders>
              <w:top w:val="single" w:sz="4" w:space="0" w:color="auto"/>
              <w:left w:val="single" w:sz="4" w:space="0" w:color="auto"/>
              <w:bottom w:val="single" w:sz="4" w:space="0" w:color="auto"/>
              <w:right w:val="single" w:sz="4" w:space="0" w:color="auto"/>
            </w:tcBorders>
            <w:vAlign w:val="center"/>
            <w:hideMark/>
          </w:tcPr>
          <w:p w14:paraId="283D5961"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35,4%</w:t>
            </w:r>
          </w:p>
        </w:tc>
      </w:tr>
      <w:tr w:rsidR="00C82678" w:rsidRPr="00312485" w14:paraId="3FBD93E9" w14:textId="77777777" w:rsidTr="00992A58">
        <w:tc>
          <w:tcPr>
            <w:tcW w:w="1129" w:type="dxa"/>
            <w:tcBorders>
              <w:top w:val="single" w:sz="4" w:space="0" w:color="auto"/>
              <w:left w:val="single" w:sz="4" w:space="0" w:color="auto"/>
              <w:bottom w:val="single" w:sz="4" w:space="0" w:color="auto"/>
              <w:right w:val="single" w:sz="4" w:space="0" w:color="auto"/>
            </w:tcBorders>
            <w:vAlign w:val="center"/>
            <w:hideMark/>
          </w:tcPr>
          <w:p w14:paraId="4AEE72F8" w14:textId="77777777" w:rsidR="00C82678" w:rsidRPr="00312485" w:rsidRDefault="00C82678" w:rsidP="00C82678">
            <w:pPr>
              <w:ind w:left="175" w:firstLine="0"/>
              <w:rPr>
                <w:rFonts w:ascii="Times New Roman" w:hAnsi="Times New Roman"/>
                <w:bCs/>
                <w:sz w:val="16"/>
                <w:szCs w:val="16"/>
                <w:lang w:val="ro-MD"/>
              </w:rPr>
            </w:pPr>
            <w:r w:rsidRPr="00312485">
              <w:rPr>
                <w:rFonts w:ascii="Times New Roman" w:hAnsi="Times New Roman"/>
                <w:color w:val="000000"/>
                <w:sz w:val="16"/>
                <w:szCs w:val="16"/>
                <w:lang w:val="ro-MD"/>
              </w:rPr>
              <w:t>Impozite și taxe</w:t>
            </w:r>
          </w:p>
        </w:tc>
        <w:tc>
          <w:tcPr>
            <w:tcW w:w="918" w:type="dxa"/>
            <w:tcBorders>
              <w:top w:val="single" w:sz="4" w:space="0" w:color="auto"/>
              <w:left w:val="nil"/>
              <w:bottom w:val="single" w:sz="4" w:space="0" w:color="auto"/>
              <w:right w:val="single" w:sz="4" w:space="0" w:color="auto"/>
            </w:tcBorders>
            <w:vAlign w:val="center"/>
            <w:hideMark/>
          </w:tcPr>
          <w:p w14:paraId="38BD6A1D" w14:textId="4CFE09E3"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112</w:t>
            </w:r>
            <w:r w:rsidR="00F42CDA" w:rsidRPr="00312485">
              <w:rPr>
                <w:rFonts w:cs="Calibri"/>
                <w:color w:val="000000"/>
                <w:sz w:val="16"/>
                <w:szCs w:val="16"/>
                <w:lang w:val="ro-MD"/>
              </w:rPr>
              <w:t xml:space="preserve"> </w:t>
            </w:r>
            <w:r w:rsidRPr="00312485">
              <w:rPr>
                <w:rFonts w:cs="Calibri"/>
                <w:color w:val="000000"/>
                <w:sz w:val="16"/>
                <w:szCs w:val="16"/>
                <w:lang w:val="ro-MD"/>
              </w:rPr>
              <w:t>085</w:t>
            </w:r>
          </w:p>
        </w:tc>
        <w:tc>
          <w:tcPr>
            <w:tcW w:w="883" w:type="dxa"/>
            <w:tcBorders>
              <w:top w:val="single" w:sz="4" w:space="0" w:color="auto"/>
              <w:left w:val="single" w:sz="4" w:space="0" w:color="auto"/>
              <w:bottom w:val="single" w:sz="4" w:space="0" w:color="auto"/>
              <w:right w:val="single" w:sz="4" w:space="0" w:color="auto"/>
            </w:tcBorders>
            <w:vAlign w:val="center"/>
          </w:tcPr>
          <w:p w14:paraId="559CA217" w14:textId="7383BF72" w:rsidR="00C82678" w:rsidRPr="00312485" w:rsidRDefault="00A760FF" w:rsidP="00F42CDA">
            <w:pPr>
              <w:ind w:firstLine="0"/>
              <w:jc w:val="center"/>
              <w:rPr>
                <w:rFonts w:cs="Calibri"/>
                <w:b/>
                <w:color w:val="000000"/>
                <w:sz w:val="16"/>
                <w:szCs w:val="16"/>
                <w:lang w:val="ro-MD"/>
              </w:rPr>
            </w:pPr>
            <w:r w:rsidRPr="00312485">
              <w:rPr>
                <w:rFonts w:cs="Calibri"/>
                <w:color w:val="000000"/>
                <w:sz w:val="16"/>
                <w:szCs w:val="16"/>
                <w:lang w:val="ro-MD"/>
              </w:rPr>
              <w:t>1</w:t>
            </w:r>
            <w:r w:rsidR="00C82678" w:rsidRPr="00312485">
              <w:rPr>
                <w:rFonts w:cs="Calibri"/>
                <w:color w:val="000000"/>
                <w:sz w:val="16"/>
                <w:szCs w:val="16"/>
                <w:lang w:val="ro-MD"/>
              </w:rPr>
              <w:t>12</w:t>
            </w:r>
            <w:r w:rsidR="00F42CDA" w:rsidRPr="00312485">
              <w:rPr>
                <w:rFonts w:cs="Calibri"/>
                <w:color w:val="000000"/>
                <w:sz w:val="16"/>
                <w:szCs w:val="16"/>
                <w:lang w:val="ro-MD"/>
              </w:rPr>
              <w:t xml:space="preserve"> </w:t>
            </w:r>
            <w:r w:rsidR="00C82678" w:rsidRPr="00312485">
              <w:rPr>
                <w:rFonts w:cs="Calibri"/>
                <w:color w:val="000000"/>
                <w:sz w:val="16"/>
                <w:szCs w:val="16"/>
                <w:lang w:val="ro-MD"/>
              </w:rPr>
              <w:t>847</w:t>
            </w:r>
          </w:p>
        </w:tc>
        <w:tc>
          <w:tcPr>
            <w:tcW w:w="919" w:type="dxa"/>
            <w:tcBorders>
              <w:top w:val="single" w:sz="4" w:space="0" w:color="auto"/>
              <w:left w:val="single" w:sz="4" w:space="0" w:color="auto"/>
              <w:bottom w:val="single" w:sz="4" w:space="0" w:color="auto"/>
              <w:right w:val="single" w:sz="4" w:space="0" w:color="auto"/>
            </w:tcBorders>
            <w:vAlign w:val="center"/>
            <w:hideMark/>
          </w:tcPr>
          <w:p w14:paraId="75033819" w14:textId="49DFD0A3"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124</w:t>
            </w:r>
            <w:r w:rsidR="00F42CDA" w:rsidRPr="00312485">
              <w:rPr>
                <w:rFonts w:cs="Calibri"/>
                <w:color w:val="000000"/>
                <w:sz w:val="16"/>
                <w:szCs w:val="16"/>
                <w:lang w:val="ro-MD"/>
              </w:rPr>
              <w:t xml:space="preserve"> </w:t>
            </w:r>
            <w:r w:rsidRPr="00312485">
              <w:rPr>
                <w:rFonts w:cs="Calibri"/>
                <w:color w:val="000000"/>
                <w:sz w:val="16"/>
                <w:szCs w:val="16"/>
                <w:lang w:val="ro-MD"/>
              </w:rPr>
              <w:t>296</w:t>
            </w:r>
          </w:p>
        </w:tc>
        <w:tc>
          <w:tcPr>
            <w:tcW w:w="928" w:type="dxa"/>
            <w:tcBorders>
              <w:top w:val="single" w:sz="4" w:space="0" w:color="auto"/>
              <w:left w:val="single" w:sz="4" w:space="0" w:color="auto"/>
              <w:bottom w:val="single" w:sz="4" w:space="0" w:color="auto"/>
              <w:right w:val="single" w:sz="4" w:space="0" w:color="auto"/>
            </w:tcBorders>
            <w:vAlign w:val="center"/>
            <w:hideMark/>
          </w:tcPr>
          <w:p w14:paraId="178C1EEE" w14:textId="2BA9F012"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135</w:t>
            </w:r>
            <w:r w:rsidR="00F42CDA" w:rsidRPr="00312485">
              <w:rPr>
                <w:rFonts w:cs="Calibri"/>
                <w:color w:val="000000"/>
                <w:sz w:val="16"/>
                <w:szCs w:val="16"/>
                <w:lang w:val="ro-MD"/>
              </w:rPr>
              <w:t xml:space="preserve"> </w:t>
            </w:r>
            <w:r w:rsidRPr="00312485">
              <w:rPr>
                <w:rFonts w:cs="Calibri"/>
                <w:color w:val="000000"/>
                <w:sz w:val="16"/>
                <w:szCs w:val="16"/>
                <w:lang w:val="ro-MD"/>
              </w:rPr>
              <w:t>800</w:t>
            </w:r>
          </w:p>
        </w:tc>
        <w:tc>
          <w:tcPr>
            <w:tcW w:w="888" w:type="dxa"/>
            <w:tcBorders>
              <w:top w:val="single" w:sz="4" w:space="0" w:color="auto"/>
              <w:left w:val="single" w:sz="4" w:space="0" w:color="auto"/>
              <w:bottom w:val="single" w:sz="4" w:space="0" w:color="auto"/>
              <w:right w:val="single" w:sz="4" w:space="0" w:color="auto"/>
            </w:tcBorders>
            <w:vAlign w:val="center"/>
            <w:hideMark/>
          </w:tcPr>
          <w:p w14:paraId="758B5012" w14:textId="249F5F8F"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148</w:t>
            </w:r>
            <w:r w:rsidR="00F42CDA" w:rsidRPr="00312485">
              <w:rPr>
                <w:rFonts w:cs="Calibri"/>
                <w:color w:val="000000"/>
                <w:sz w:val="16"/>
                <w:szCs w:val="16"/>
                <w:lang w:val="ro-MD"/>
              </w:rPr>
              <w:t xml:space="preserve"> </w:t>
            </w:r>
            <w:r w:rsidRPr="00312485">
              <w:rPr>
                <w:rFonts w:cs="Calibri"/>
                <w:color w:val="000000"/>
                <w:sz w:val="16"/>
                <w:szCs w:val="16"/>
                <w:lang w:val="ro-MD"/>
              </w:rPr>
              <w:t>244</w:t>
            </w:r>
          </w:p>
        </w:tc>
        <w:tc>
          <w:tcPr>
            <w:tcW w:w="847" w:type="dxa"/>
            <w:tcBorders>
              <w:top w:val="single" w:sz="4" w:space="0" w:color="auto"/>
              <w:left w:val="single" w:sz="4" w:space="0" w:color="auto"/>
              <w:bottom w:val="single" w:sz="4" w:space="0" w:color="auto"/>
              <w:right w:val="single" w:sz="4" w:space="0" w:color="auto"/>
            </w:tcBorders>
            <w:vAlign w:val="center"/>
            <w:hideMark/>
          </w:tcPr>
          <w:p w14:paraId="7C8BCAE8"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32,2%</w:t>
            </w:r>
          </w:p>
        </w:tc>
        <w:tc>
          <w:tcPr>
            <w:tcW w:w="718" w:type="dxa"/>
            <w:tcBorders>
              <w:top w:val="single" w:sz="4" w:space="0" w:color="auto"/>
              <w:left w:val="single" w:sz="4" w:space="0" w:color="auto"/>
              <w:bottom w:val="single" w:sz="4" w:space="0" w:color="auto"/>
              <w:right w:val="single" w:sz="4" w:space="0" w:color="auto"/>
            </w:tcBorders>
            <w:vAlign w:val="center"/>
            <w:hideMark/>
          </w:tcPr>
          <w:p w14:paraId="19F4169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32,1%</w:t>
            </w:r>
          </w:p>
        </w:tc>
        <w:tc>
          <w:tcPr>
            <w:tcW w:w="851" w:type="dxa"/>
            <w:tcBorders>
              <w:top w:val="single" w:sz="4" w:space="0" w:color="auto"/>
              <w:left w:val="single" w:sz="4" w:space="0" w:color="auto"/>
              <w:bottom w:val="single" w:sz="4" w:space="0" w:color="auto"/>
              <w:right w:val="single" w:sz="4" w:space="0" w:color="auto"/>
            </w:tcBorders>
            <w:vAlign w:val="center"/>
          </w:tcPr>
          <w:p w14:paraId="4413D036" w14:textId="77777777" w:rsidR="00C82678" w:rsidRPr="00312485" w:rsidRDefault="00C82678" w:rsidP="00C82678">
            <w:pPr>
              <w:ind w:firstLine="0"/>
              <w:jc w:val="center"/>
              <w:rPr>
                <w:rFonts w:cs="Calibri"/>
                <w:color w:val="000000"/>
                <w:sz w:val="16"/>
                <w:szCs w:val="16"/>
                <w:lang w:val="ro-MD"/>
              </w:rPr>
            </w:pPr>
            <w:r w:rsidRPr="00312485">
              <w:rPr>
                <w:rFonts w:cs="Calibri"/>
                <w:bCs/>
                <w:color w:val="000000"/>
                <w:sz w:val="16"/>
                <w:szCs w:val="16"/>
                <w:lang w:val="ro-MD"/>
              </w:rPr>
              <w:t>32,7%</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277F48"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33,0%</w:t>
            </w:r>
          </w:p>
        </w:tc>
        <w:tc>
          <w:tcPr>
            <w:tcW w:w="845" w:type="dxa"/>
            <w:tcBorders>
              <w:top w:val="single" w:sz="4" w:space="0" w:color="auto"/>
              <w:left w:val="single" w:sz="4" w:space="0" w:color="auto"/>
              <w:bottom w:val="single" w:sz="4" w:space="0" w:color="auto"/>
              <w:right w:val="single" w:sz="4" w:space="0" w:color="auto"/>
            </w:tcBorders>
            <w:vAlign w:val="center"/>
            <w:hideMark/>
          </w:tcPr>
          <w:p w14:paraId="514ADAED"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33,6%</w:t>
            </w:r>
          </w:p>
        </w:tc>
      </w:tr>
      <w:tr w:rsidR="00C82678" w:rsidRPr="00312485" w14:paraId="55961C76" w14:textId="77777777" w:rsidTr="00992A58">
        <w:tc>
          <w:tcPr>
            <w:tcW w:w="1129" w:type="dxa"/>
            <w:tcBorders>
              <w:top w:val="single" w:sz="4" w:space="0" w:color="auto"/>
              <w:left w:val="single" w:sz="4" w:space="0" w:color="auto"/>
              <w:bottom w:val="single" w:sz="4" w:space="0" w:color="auto"/>
              <w:right w:val="single" w:sz="4" w:space="0" w:color="auto"/>
            </w:tcBorders>
            <w:vAlign w:val="center"/>
            <w:hideMark/>
          </w:tcPr>
          <w:p w14:paraId="66E01501" w14:textId="77777777" w:rsidR="00C82678" w:rsidRPr="00312485" w:rsidRDefault="00C82678" w:rsidP="00C82678">
            <w:pPr>
              <w:ind w:left="175" w:firstLine="0"/>
              <w:rPr>
                <w:rFonts w:ascii="Times New Roman" w:hAnsi="Times New Roman"/>
                <w:bCs/>
                <w:sz w:val="16"/>
                <w:szCs w:val="16"/>
                <w:lang w:val="ro-MD"/>
              </w:rPr>
            </w:pPr>
            <w:r w:rsidRPr="00312485">
              <w:rPr>
                <w:rFonts w:ascii="Times New Roman" w:hAnsi="Times New Roman"/>
                <w:color w:val="000000"/>
                <w:sz w:val="16"/>
                <w:szCs w:val="16"/>
                <w:lang w:val="ro-MD"/>
              </w:rPr>
              <w:t xml:space="preserve">Alte venituri </w:t>
            </w:r>
          </w:p>
        </w:tc>
        <w:tc>
          <w:tcPr>
            <w:tcW w:w="918" w:type="dxa"/>
            <w:tcBorders>
              <w:top w:val="single" w:sz="4" w:space="0" w:color="auto"/>
              <w:left w:val="nil"/>
              <w:bottom w:val="single" w:sz="4" w:space="0" w:color="auto"/>
              <w:right w:val="single" w:sz="4" w:space="0" w:color="auto"/>
            </w:tcBorders>
            <w:vAlign w:val="center"/>
            <w:hideMark/>
          </w:tcPr>
          <w:p w14:paraId="3D92AC84" w14:textId="1A227E92"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5</w:t>
            </w:r>
            <w:r w:rsidR="00F42CDA" w:rsidRPr="00312485">
              <w:rPr>
                <w:rFonts w:cs="Calibri"/>
                <w:color w:val="000000"/>
                <w:sz w:val="16"/>
                <w:szCs w:val="16"/>
                <w:lang w:val="ro-MD"/>
              </w:rPr>
              <w:t xml:space="preserve"> </w:t>
            </w:r>
            <w:r w:rsidRPr="00312485">
              <w:rPr>
                <w:rFonts w:cs="Calibri"/>
                <w:color w:val="000000"/>
                <w:sz w:val="16"/>
                <w:szCs w:val="16"/>
                <w:lang w:val="ro-MD"/>
              </w:rPr>
              <w:t>850</w:t>
            </w:r>
          </w:p>
        </w:tc>
        <w:tc>
          <w:tcPr>
            <w:tcW w:w="883" w:type="dxa"/>
            <w:tcBorders>
              <w:top w:val="single" w:sz="4" w:space="0" w:color="auto"/>
              <w:left w:val="single" w:sz="4" w:space="0" w:color="auto"/>
              <w:bottom w:val="single" w:sz="4" w:space="0" w:color="auto"/>
              <w:right w:val="single" w:sz="4" w:space="0" w:color="auto"/>
            </w:tcBorders>
            <w:vAlign w:val="center"/>
          </w:tcPr>
          <w:p w14:paraId="3EF12609" w14:textId="58709C15" w:rsidR="00C82678" w:rsidRPr="00312485" w:rsidRDefault="00C82678" w:rsidP="00F42CDA">
            <w:pPr>
              <w:ind w:firstLine="0"/>
              <w:jc w:val="center"/>
              <w:rPr>
                <w:rFonts w:cs="Calibri"/>
                <w:b/>
                <w:color w:val="000000"/>
                <w:sz w:val="16"/>
                <w:szCs w:val="16"/>
                <w:lang w:val="ro-MD"/>
              </w:rPr>
            </w:pPr>
            <w:r w:rsidRPr="00312485">
              <w:rPr>
                <w:rFonts w:cs="Calibri"/>
                <w:color w:val="000000"/>
                <w:sz w:val="16"/>
                <w:szCs w:val="16"/>
                <w:lang w:val="ro-MD"/>
              </w:rPr>
              <w:t>6</w:t>
            </w:r>
            <w:r w:rsidR="00F42CDA" w:rsidRPr="00312485">
              <w:rPr>
                <w:rFonts w:cs="Calibri"/>
                <w:color w:val="000000"/>
                <w:sz w:val="16"/>
                <w:szCs w:val="16"/>
                <w:lang w:val="ro-MD"/>
              </w:rPr>
              <w:t xml:space="preserve"> </w:t>
            </w:r>
            <w:r w:rsidRPr="00312485">
              <w:rPr>
                <w:rFonts w:cs="Calibri"/>
                <w:color w:val="000000"/>
                <w:sz w:val="16"/>
                <w:szCs w:val="16"/>
                <w:lang w:val="ro-MD"/>
              </w:rPr>
              <w:t>147</w:t>
            </w:r>
          </w:p>
        </w:tc>
        <w:tc>
          <w:tcPr>
            <w:tcW w:w="919" w:type="dxa"/>
            <w:tcBorders>
              <w:top w:val="single" w:sz="4" w:space="0" w:color="auto"/>
              <w:left w:val="single" w:sz="4" w:space="0" w:color="auto"/>
              <w:bottom w:val="single" w:sz="4" w:space="0" w:color="auto"/>
              <w:right w:val="single" w:sz="4" w:space="0" w:color="auto"/>
            </w:tcBorders>
            <w:vAlign w:val="center"/>
            <w:hideMark/>
          </w:tcPr>
          <w:p w14:paraId="444CF831" w14:textId="3380ED40"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5</w:t>
            </w:r>
            <w:r w:rsidR="00F42CDA" w:rsidRPr="00312485">
              <w:rPr>
                <w:rFonts w:cs="Calibri"/>
                <w:color w:val="000000"/>
                <w:sz w:val="16"/>
                <w:szCs w:val="16"/>
                <w:lang w:val="ro-MD"/>
              </w:rPr>
              <w:t xml:space="preserve"> </w:t>
            </w:r>
            <w:r w:rsidRPr="00312485">
              <w:rPr>
                <w:rFonts w:cs="Calibri"/>
                <w:color w:val="000000"/>
                <w:sz w:val="16"/>
                <w:szCs w:val="16"/>
                <w:lang w:val="ro-MD"/>
              </w:rPr>
              <w:t>960</w:t>
            </w:r>
          </w:p>
        </w:tc>
        <w:tc>
          <w:tcPr>
            <w:tcW w:w="928" w:type="dxa"/>
            <w:tcBorders>
              <w:top w:val="single" w:sz="4" w:space="0" w:color="auto"/>
              <w:left w:val="single" w:sz="4" w:space="0" w:color="auto"/>
              <w:bottom w:val="single" w:sz="4" w:space="0" w:color="auto"/>
              <w:right w:val="single" w:sz="4" w:space="0" w:color="auto"/>
            </w:tcBorders>
            <w:vAlign w:val="center"/>
            <w:hideMark/>
          </w:tcPr>
          <w:p w14:paraId="57DA503B" w14:textId="64D551D9"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6</w:t>
            </w:r>
            <w:r w:rsidR="00F42CDA" w:rsidRPr="00312485">
              <w:rPr>
                <w:rFonts w:cs="Calibri"/>
                <w:color w:val="000000"/>
                <w:sz w:val="16"/>
                <w:szCs w:val="16"/>
                <w:lang w:val="ro-MD"/>
              </w:rPr>
              <w:t xml:space="preserve"> </w:t>
            </w:r>
            <w:r w:rsidRPr="00312485">
              <w:rPr>
                <w:rFonts w:cs="Calibri"/>
                <w:color w:val="000000"/>
                <w:sz w:val="16"/>
                <w:szCs w:val="16"/>
                <w:lang w:val="ro-MD"/>
              </w:rPr>
              <w:t>393</w:t>
            </w:r>
          </w:p>
        </w:tc>
        <w:tc>
          <w:tcPr>
            <w:tcW w:w="888" w:type="dxa"/>
            <w:tcBorders>
              <w:top w:val="single" w:sz="4" w:space="0" w:color="auto"/>
              <w:left w:val="single" w:sz="4" w:space="0" w:color="auto"/>
              <w:bottom w:val="single" w:sz="4" w:space="0" w:color="auto"/>
              <w:right w:val="single" w:sz="4" w:space="0" w:color="auto"/>
            </w:tcBorders>
            <w:vAlign w:val="center"/>
            <w:hideMark/>
          </w:tcPr>
          <w:p w14:paraId="6D44DEDE" w14:textId="61E4D3BE"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6</w:t>
            </w:r>
            <w:r w:rsidR="00F42CDA" w:rsidRPr="00312485">
              <w:rPr>
                <w:rFonts w:cs="Calibri"/>
                <w:color w:val="000000"/>
                <w:sz w:val="16"/>
                <w:szCs w:val="16"/>
                <w:lang w:val="ro-MD"/>
              </w:rPr>
              <w:t xml:space="preserve"> </w:t>
            </w:r>
            <w:r w:rsidRPr="00312485">
              <w:rPr>
                <w:rFonts w:cs="Calibri"/>
                <w:color w:val="000000"/>
                <w:sz w:val="16"/>
                <w:szCs w:val="16"/>
                <w:lang w:val="ro-MD"/>
              </w:rPr>
              <w:t>889</w:t>
            </w:r>
          </w:p>
        </w:tc>
        <w:tc>
          <w:tcPr>
            <w:tcW w:w="847" w:type="dxa"/>
            <w:tcBorders>
              <w:top w:val="single" w:sz="4" w:space="0" w:color="auto"/>
              <w:left w:val="single" w:sz="4" w:space="0" w:color="auto"/>
              <w:bottom w:val="single" w:sz="4" w:space="0" w:color="auto"/>
              <w:right w:val="single" w:sz="4" w:space="0" w:color="auto"/>
            </w:tcBorders>
            <w:vAlign w:val="center"/>
            <w:hideMark/>
          </w:tcPr>
          <w:p w14:paraId="0626D906"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1,7%</w:t>
            </w:r>
          </w:p>
        </w:tc>
        <w:tc>
          <w:tcPr>
            <w:tcW w:w="718" w:type="dxa"/>
            <w:tcBorders>
              <w:top w:val="single" w:sz="4" w:space="0" w:color="auto"/>
              <w:left w:val="single" w:sz="4" w:space="0" w:color="auto"/>
              <w:bottom w:val="single" w:sz="4" w:space="0" w:color="auto"/>
              <w:right w:val="single" w:sz="4" w:space="0" w:color="auto"/>
            </w:tcBorders>
            <w:vAlign w:val="center"/>
            <w:hideMark/>
          </w:tcPr>
          <w:p w14:paraId="1B605DB9"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1,8%</w:t>
            </w:r>
          </w:p>
        </w:tc>
        <w:tc>
          <w:tcPr>
            <w:tcW w:w="851" w:type="dxa"/>
            <w:tcBorders>
              <w:top w:val="single" w:sz="4" w:space="0" w:color="auto"/>
              <w:left w:val="single" w:sz="4" w:space="0" w:color="auto"/>
              <w:bottom w:val="single" w:sz="4" w:space="0" w:color="auto"/>
              <w:right w:val="single" w:sz="4" w:space="0" w:color="auto"/>
            </w:tcBorders>
            <w:vAlign w:val="center"/>
          </w:tcPr>
          <w:p w14:paraId="5AF851EE" w14:textId="77777777" w:rsidR="00C82678" w:rsidRPr="00312485" w:rsidRDefault="00C82678" w:rsidP="00C82678">
            <w:pPr>
              <w:ind w:firstLine="0"/>
              <w:jc w:val="center"/>
              <w:rPr>
                <w:rFonts w:cs="Calibri"/>
                <w:color w:val="000000"/>
                <w:sz w:val="16"/>
                <w:szCs w:val="16"/>
                <w:lang w:val="ro-MD"/>
              </w:rPr>
            </w:pPr>
            <w:r w:rsidRPr="00312485">
              <w:rPr>
                <w:rFonts w:cs="Calibri"/>
                <w:bCs/>
                <w:color w:val="000000"/>
                <w:sz w:val="16"/>
                <w:szCs w:val="16"/>
                <w:lang w:val="ro-MD"/>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6BFB7F"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1,6%</w:t>
            </w:r>
          </w:p>
        </w:tc>
        <w:tc>
          <w:tcPr>
            <w:tcW w:w="845" w:type="dxa"/>
            <w:tcBorders>
              <w:top w:val="single" w:sz="4" w:space="0" w:color="auto"/>
              <w:left w:val="single" w:sz="4" w:space="0" w:color="auto"/>
              <w:bottom w:val="single" w:sz="4" w:space="0" w:color="auto"/>
              <w:right w:val="single" w:sz="4" w:space="0" w:color="auto"/>
            </w:tcBorders>
            <w:vAlign w:val="center"/>
            <w:hideMark/>
          </w:tcPr>
          <w:p w14:paraId="609BD70E"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1,6%</w:t>
            </w:r>
          </w:p>
        </w:tc>
      </w:tr>
      <w:tr w:rsidR="00C82678" w:rsidRPr="00312485" w14:paraId="69A7BC53" w14:textId="77777777" w:rsidTr="00992A58">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CEB5AD" w14:textId="77777777" w:rsidR="00C82678" w:rsidRPr="00312485" w:rsidRDefault="00C82678" w:rsidP="00C82678">
            <w:pPr>
              <w:ind w:left="175" w:firstLine="0"/>
              <w:rPr>
                <w:rFonts w:ascii="Times New Roman" w:hAnsi="Times New Roman"/>
                <w:bCs/>
                <w:sz w:val="16"/>
                <w:szCs w:val="16"/>
                <w:lang w:val="ro-MD"/>
              </w:rPr>
            </w:pPr>
            <w:r w:rsidRPr="00312485">
              <w:rPr>
                <w:rFonts w:ascii="Times New Roman" w:hAnsi="Times New Roman"/>
                <w:color w:val="000000"/>
                <w:sz w:val="16"/>
                <w:szCs w:val="16"/>
                <w:lang w:val="ro-MD"/>
              </w:rPr>
              <w:t>Granturi</w:t>
            </w:r>
          </w:p>
        </w:tc>
        <w:tc>
          <w:tcPr>
            <w:tcW w:w="918" w:type="dxa"/>
            <w:tcBorders>
              <w:top w:val="single" w:sz="4" w:space="0" w:color="auto"/>
              <w:left w:val="nil"/>
              <w:bottom w:val="single" w:sz="4" w:space="0" w:color="auto"/>
              <w:right w:val="single" w:sz="4" w:space="0" w:color="auto"/>
            </w:tcBorders>
            <w:shd w:val="clear" w:color="auto" w:fill="FFFFFF"/>
            <w:vAlign w:val="center"/>
            <w:hideMark/>
          </w:tcPr>
          <w:p w14:paraId="671CB3BE" w14:textId="35597468"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w:t>
            </w:r>
            <w:r w:rsidR="00F42CDA" w:rsidRPr="00312485">
              <w:rPr>
                <w:rFonts w:cs="Calibri"/>
                <w:color w:val="000000"/>
                <w:sz w:val="16"/>
                <w:szCs w:val="16"/>
                <w:lang w:val="ro-MD"/>
              </w:rPr>
              <w:t xml:space="preserve"> </w:t>
            </w:r>
            <w:r w:rsidRPr="00312485">
              <w:rPr>
                <w:rFonts w:cs="Calibri"/>
                <w:color w:val="000000"/>
                <w:sz w:val="16"/>
                <w:szCs w:val="16"/>
                <w:lang w:val="ro-MD"/>
              </w:rPr>
              <w:t>318</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532870A4" w14:textId="2380F449" w:rsidR="00C82678" w:rsidRPr="00312485" w:rsidRDefault="00C82678" w:rsidP="00F42CDA">
            <w:pPr>
              <w:ind w:firstLine="0"/>
              <w:jc w:val="center"/>
              <w:rPr>
                <w:rFonts w:cs="Calibri"/>
                <w:b/>
                <w:color w:val="000000"/>
                <w:sz w:val="16"/>
                <w:szCs w:val="16"/>
                <w:lang w:val="ro-MD"/>
              </w:rPr>
            </w:pPr>
            <w:r w:rsidRPr="00312485">
              <w:rPr>
                <w:rFonts w:cs="Calibri"/>
                <w:color w:val="000000"/>
                <w:sz w:val="16"/>
                <w:szCs w:val="16"/>
                <w:lang w:val="ro-MD"/>
              </w:rPr>
              <w:t>5</w:t>
            </w:r>
            <w:r w:rsidR="00F42CDA" w:rsidRPr="00312485">
              <w:rPr>
                <w:rFonts w:cs="Calibri"/>
                <w:color w:val="000000"/>
                <w:sz w:val="16"/>
                <w:szCs w:val="16"/>
                <w:lang w:val="ro-MD"/>
              </w:rPr>
              <w:t xml:space="preserve"> </w:t>
            </w:r>
            <w:r w:rsidRPr="00312485">
              <w:rPr>
                <w:rFonts w:cs="Calibri"/>
                <w:color w:val="000000"/>
                <w:sz w:val="16"/>
                <w:szCs w:val="16"/>
                <w:lang w:val="ro-MD"/>
              </w:rPr>
              <w:t>058</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761DA4" w14:textId="024A9BA2"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1</w:t>
            </w:r>
            <w:r w:rsidR="00F42CDA" w:rsidRPr="00312485">
              <w:rPr>
                <w:rFonts w:cs="Calibri"/>
                <w:color w:val="000000"/>
                <w:sz w:val="16"/>
                <w:szCs w:val="16"/>
                <w:lang w:val="ro-MD"/>
              </w:rPr>
              <w:t xml:space="preserve"> </w:t>
            </w:r>
            <w:r w:rsidRPr="00312485">
              <w:rPr>
                <w:rFonts w:cs="Calibri"/>
                <w:color w:val="000000"/>
                <w:sz w:val="16"/>
                <w:szCs w:val="16"/>
                <w:lang w:val="ro-MD"/>
              </w:rPr>
              <w:t>649</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5C0328" w14:textId="4F631D74"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w:t>
            </w:r>
            <w:r w:rsidR="00F42CDA" w:rsidRPr="00312485">
              <w:rPr>
                <w:rFonts w:cs="Calibri"/>
                <w:color w:val="000000"/>
                <w:sz w:val="16"/>
                <w:szCs w:val="16"/>
                <w:lang w:val="ro-MD"/>
              </w:rPr>
              <w:t xml:space="preserve"> </w:t>
            </w:r>
            <w:r w:rsidRPr="00312485">
              <w:rPr>
                <w:rFonts w:cs="Calibri"/>
                <w:color w:val="000000"/>
                <w:sz w:val="16"/>
                <w:szCs w:val="16"/>
                <w:lang w:val="ro-MD"/>
              </w:rPr>
              <w:t>201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F1E28F"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673,2</w:t>
            </w:r>
          </w:p>
        </w:tc>
        <w:tc>
          <w:tcPr>
            <w:tcW w:w="847" w:type="dxa"/>
            <w:tcBorders>
              <w:top w:val="single" w:sz="4" w:space="0" w:color="auto"/>
              <w:left w:val="single" w:sz="4" w:space="0" w:color="auto"/>
              <w:bottom w:val="single" w:sz="4" w:space="0" w:color="auto"/>
              <w:right w:val="single" w:sz="4" w:space="0" w:color="auto"/>
            </w:tcBorders>
            <w:vAlign w:val="center"/>
            <w:hideMark/>
          </w:tcPr>
          <w:p w14:paraId="018D574D"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0,4%</w:t>
            </w:r>
          </w:p>
        </w:tc>
        <w:tc>
          <w:tcPr>
            <w:tcW w:w="718" w:type="dxa"/>
            <w:tcBorders>
              <w:top w:val="single" w:sz="4" w:space="0" w:color="auto"/>
              <w:left w:val="single" w:sz="4" w:space="0" w:color="auto"/>
              <w:bottom w:val="single" w:sz="4" w:space="0" w:color="auto"/>
              <w:right w:val="single" w:sz="4" w:space="0" w:color="auto"/>
            </w:tcBorders>
            <w:vAlign w:val="center"/>
            <w:hideMark/>
          </w:tcPr>
          <w:p w14:paraId="265AE62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1,4%</w:t>
            </w:r>
          </w:p>
        </w:tc>
        <w:tc>
          <w:tcPr>
            <w:tcW w:w="851" w:type="dxa"/>
            <w:tcBorders>
              <w:top w:val="single" w:sz="4" w:space="0" w:color="auto"/>
              <w:left w:val="single" w:sz="4" w:space="0" w:color="auto"/>
              <w:bottom w:val="single" w:sz="4" w:space="0" w:color="auto"/>
              <w:right w:val="single" w:sz="4" w:space="0" w:color="auto"/>
            </w:tcBorders>
            <w:vAlign w:val="center"/>
          </w:tcPr>
          <w:p w14:paraId="083C8DCA" w14:textId="77777777" w:rsidR="00C82678" w:rsidRPr="00312485" w:rsidRDefault="00C82678" w:rsidP="00C82678">
            <w:pPr>
              <w:ind w:firstLine="0"/>
              <w:jc w:val="center"/>
              <w:rPr>
                <w:rFonts w:cs="Calibri"/>
                <w:color w:val="000000"/>
                <w:sz w:val="16"/>
                <w:szCs w:val="16"/>
                <w:lang w:val="ro-MD"/>
              </w:rPr>
            </w:pPr>
            <w:r w:rsidRPr="00312485">
              <w:rPr>
                <w:rFonts w:cs="Calibri"/>
                <w:bCs/>
                <w:color w:val="000000"/>
                <w:sz w:val="16"/>
                <w:szCs w:val="16"/>
                <w:lang w:val="ro-MD"/>
              </w:rPr>
              <w:t>0,4%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1823A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0,3%</w:t>
            </w:r>
          </w:p>
        </w:tc>
        <w:tc>
          <w:tcPr>
            <w:tcW w:w="845" w:type="dxa"/>
            <w:tcBorders>
              <w:top w:val="single" w:sz="4" w:space="0" w:color="auto"/>
              <w:left w:val="single" w:sz="4" w:space="0" w:color="auto"/>
              <w:bottom w:val="single" w:sz="4" w:space="0" w:color="auto"/>
              <w:right w:val="single" w:sz="4" w:space="0" w:color="auto"/>
            </w:tcBorders>
            <w:vAlign w:val="center"/>
            <w:hideMark/>
          </w:tcPr>
          <w:p w14:paraId="371CDF1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0,2%</w:t>
            </w:r>
          </w:p>
        </w:tc>
      </w:tr>
      <w:tr w:rsidR="00C82678" w:rsidRPr="00312485" w14:paraId="77C7886B" w14:textId="77777777" w:rsidTr="00992A58">
        <w:trPr>
          <w:trHeight w:val="408"/>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F0B66F" w14:textId="77777777" w:rsidR="00C82678" w:rsidRPr="00312485" w:rsidRDefault="00C82678" w:rsidP="00C82678">
            <w:pPr>
              <w:ind w:firstLine="0"/>
              <w:rPr>
                <w:rFonts w:ascii="Times New Roman" w:hAnsi="Times New Roman"/>
                <w:b/>
                <w:color w:val="000000"/>
                <w:sz w:val="16"/>
                <w:szCs w:val="16"/>
                <w:lang w:val="ro-MD"/>
              </w:rPr>
            </w:pPr>
            <w:r w:rsidRPr="00312485">
              <w:rPr>
                <w:rFonts w:ascii="Times New Roman" w:hAnsi="Times New Roman"/>
                <w:b/>
                <w:bCs/>
                <w:color w:val="000000"/>
                <w:sz w:val="16"/>
                <w:szCs w:val="16"/>
                <w:lang w:val="ro-MD"/>
              </w:rPr>
              <w:t>Total cheltuieli</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93AAF2" w14:textId="6B86B0D0" w:rsidR="00C82678" w:rsidRPr="00312485" w:rsidRDefault="00F42CDA"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 xml:space="preserve">133 </w:t>
            </w:r>
            <w:r w:rsidR="00C82678" w:rsidRPr="00312485">
              <w:rPr>
                <w:rFonts w:cs="Calibri"/>
                <w:b/>
                <w:bCs/>
                <w:color w:val="000000"/>
                <w:sz w:val="16"/>
                <w:szCs w:val="16"/>
                <w:lang w:val="ro-MD"/>
              </w:rPr>
              <w:t>347</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0711F1F7" w14:textId="1FA586CB" w:rsidR="00C82678" w:rsidRPr="00312485" w:rsidRDefault="00C82678" w:rsidP="00F42CDA">
            <w:pPr>
              <w:ind w:firstLine="0"/>
              <w:jc w:val="left"/>
              <w:rPr>
                <w:rFonts w:cs="Calibri"/>
                <w:b/>
                <w:bCs/>
                <w:color w:val="000000"/>
                <w:sz w:val="16"/>
                <w:szCs w:val="16"/>
                <w:lang w:val="ro-MD"/>
              </w:rPr>
            </w:pPr>
            <w:r w:rsidRPr="00312485">
              <w:rPr>
                <w:rFonts w:cs="Calibri"/>
                <w:b/>
                <w:bCs/>
                <w:color w:val="000000"/>
                <w:sz w:val="16"/>
                <w:szCs w:val="16"/>
                <w:lang w:val="ro-MD"/>
              </w:rPr>
              <w:t>142</w:t>
            </w:r>
            <w:r w:rsidR="00F42CDA" w:rsidRPr="00312485">
              <w:rPr>
                <w:rFonts w:cs="Calibri"/>
                <w:b/>
                <w:bCs/>
                <w:color w:val="000000"/>
                <w:sz w:val="16"/>
                <w:szCs w:val="16"/>
                <w:lang w:val="ro-MD"/>
              </w:rPr>
              <w:t xml:space="preserve"> </w:t>
            </w:r>
            <w:r w:rsidRPr="00312485">
              <w:rPr>
                <w:rFonts w:cs="Calibri"/>
                <w:b/>
                <w:bCs/>
                <w:color w:val="000000"/>
                <w:sz w:val="16"/>
                <w:szCs w:val="16"/>
                <w:lang w:val="ro-MD"/>
              </w:rPr>
              <w:t>158</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C415C" w14:textId="76FF019C"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152</w:t>
            </w:r>
            <w:r w:rsidR="00F42CDA" w:rsidRPr="00312485">
              <w:rPr>
                <w:rFonts w:cs="Calibri"/>
                <w:b/>
                <w:bCs/>
                <w:color w:val="000000"/>
                <w:sz w:val="16"/>
                <w:szCs w:val="16"/>
                <w:lang w:val="ro-MD"/>
              </w:rPr>
              <w:t xml:space="preserve"> </w:t>
            </w:r>
            <w:r w:rsidRPr="00312485">
              <w:rPr>
                <w:rFonts w:cs="Calibri"/>
                <w:b/>
                <w:bCs/>
                <w:color w:val="000000"/>
                <w:sz w:val="16"/>
                <w:szCs w:val="16"/>
                <w:lang w:val="ro-MD"/>
              </w:rPr>
              <w:t>418</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E43BD6" w14:textId="6F3ED061" w:rsidR="00C82678" w:rsidRPr="00312485" w:rsidRDefault="00C82678" w:rsidP="00F42CDA">
            <w:pPr>
              <w:ind w:firstLine="0"/>
              <w:jc w:val="center"/>
              <w:rPr>
                <w:rFonts w:ascii="Times New Roman" w:hAnsi="Times New Roman"/>
                <w:b/>
                <w:bCs/>
                <w:color w:val="000000"/>
                <w:sz w:val="16"/>
                <w:szCs w:val="16"/>
                <w:lang w:val="ro-MD"/>
              </w:rPr>
            </w:pPr>
            <w:r w:rsidRPr="00312485">
              <w:rPr>
                <w:rFonts w:cs="Calibri"/>
                <w:b/>
                <w:bCs/>
                <w:color w:val="000000"/>
                <w:sz w:val="16"/>
                <w:szCs w:val="16"/>
                <w:lang w:val="ro-MD"/>
              </w:rPr>
              <w:t>165</w:t>
            </w:r>
            <w:r w:rsidR="00F42CDA" w:rsidRPr="00312485">
              <w:rPr>
                <w:rFonts w:cs="Calibri"/>
                <w:b/>
                <w:bCs/>
                <w:color w:val="000000"/>
                <w:sz w:val="16"/>
                <w:szCs w:val="16"/>
                <w:lang w:val="ro-MD"/>
              </w:rPr>
              <w:t xml:space="preserve"> </w:t>
            </w:r>
            <w:r w:rsidRPr="00312485">
              <w:rPr>
                <w:rFonts w:cs="Calibri"/>
                <w:b/>
                <w:bCs/>
                <w:color w:val="000000"/>
                <w:sz w:val="16"/>
                <w:szCs w:val="16"/>
                <w:lang w:val="ro-MD"/>
              </w:rPr>
              <w:t>328</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D883A5" w14:textId="733511ED"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174</w:t>
            </w:r>
            <w:r w:rsidR="00F42CDA" w:rsidRPr="00312485">
              <w:rPr>
                <w:rFonts w:cs="Calibri"/>
                <w:b/>
                <w:bCs/>
                <w:color w:val="000000"/>
                <w:sz w:val="16"/>
                <w:szCs w:val="16"/>
                <w:lang w:val="ro-MD"/>
              </w:rPr>
              <w:t xml:space="preserve"> </w:t>
            </w:r>
            <w:r w:rsidRPr="00312485">
              <w:rPr>
                <w:rFonts w:cs="Calibri"/>
                <w:b/>
                <w:bCs/>
                <w:color w:val="000000"/>
                <w:sz w:val="16"/>
                <w:szCs w:val="16"/>
                <w:lang w:val="ro-MD"/>
              </w:rPr>
              <w:t>390</w:t>
            </w:r>
          </w:p>
        </w:tc>
        <w:tc>
          <w:tcPr>
            <w:tcW w:w="847" w:type="dxa"/>
            <w:tcBorders>
              <w:top w:val="single" w:sz="4" w:space="0" w:color="auto"/>
              <w:left w:val="single" w:sz="4" w:space="0" w:color="auto"/>
              <w:bottom w:val="single" w:sz="4" w:space="0" w:color="auto"/>
              <w:right w:val="single" w:sz="4" w:space="0" w:color="auto"/>
            </w:tcBorders>
            <w:vAlign w:val="center"/>
            <w:hideMark/>
          </w:tcPr>
          <w:p w14:paraId="523F1101"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38,3%</w:t>
            </w:r>
          </w:p>
        </w:tc>
        <w:tc>
          <w:tcPr>
            <w:tcW w:w="718" w:type="dxa"/>
            <w:tcBorders>
              <w:top w:val="single" w:sz="4" w:space="0" w:color="auto"/>
              <w:left w:val="single" w:sz="4" w:space="0" w:color="auto"/>
              <w:bottom w:val="single" w:sz="4" w:space="0" w:color="auto"/>
              <w:right w:val="single" w:sz="4" w:space="0" w:color="auto"/>
            </w:tcBorders>
            <w:vAlign w:val="center"/>
            <w:hideMark/>
          </w:tcPr>
          <w:p w14:paraId="587C38D1"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40,5%</w:t>
            </w:r>
          </w:p>
        </w:tc>
        <w:tc>
          <w:tcPr>
            <w:tcW w:w="851" w:type="dxa"/>
            <w:tcBorders>
              <w:top w:val="single" w:sz="4" w:space="0" w:color="auto"/>
              <w:left w:val="single" w:sz="4" w:space="0" w:color="auto"/>
              <w:bottom w:val="single" w:sz="4" w:space="0" w:color="auto"/>
              <w:right w:val="single" w:sz="4" w:space="0" w:color="auto"/>
            </w:tcBorders>
            <w:vAlign w:val="center"/>
          </w:tcPr>
          <w:p w14:paraId="309C8185" w14:textId="77777777" w:rsidR="00C82678" w:rsidRPr="00312485" w:rsidRDefault="00C82678" w:rsidP="00C82678">
            <w:pPr>
              <w:ind w:firstLine="0"/>
              <w:jc w:val="center"/>
              <w:rPr>
                <w:rFonts w:cs="Calibri"/>
                <w:b/>
                <w:bCs/>
                <w:color w:val="000000"/>
                <w:sz w:val="16"/>
                <w:szCs w:val="16"/>
                <w:lang w:val="ro-MD"/>
              </w:rPr>
            </w:pPr>
            <w:r w:rsidRPr="00312485">
              <w:rPr>
                <w:rFonts w:cs="Calibri"/>
                <w:b/>
                <w:bCs/>
                <w:color w:val="000000"/>
                <w:sz w:val="16"/>
                <w:szCs w:val="16"/>
                <w:lang w:val="ro-MD"/>
              </w:rPr>
              <w:t>40,1%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218BC0"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40,2%</w:t>
            </w:r>
          </w:p>
        </w:tc>
        <w:tc>
          <w:tcPr>
            <w:tcW w:w="845" w:type="dxa"/>
            <w:tcBorders>
              <w:top w:val="single" w:sz="4" w:space="0" w:color="auto"/>
              <w:left w:val="single" w:sz="4" w:space="0" w:color="auto"/>
              <w:bottom w:val="single" w:sz="4" w:space="0" w:color="auto"/>
              <w:right w:val="single" w:sz="4" w:space="0" w:color="auto"/>
            </w:tcBorders>
            <w:vAlign w:val="center"/>
            <w:hideMark/>
          </w:tcPr>
          <w:p w14:paraId="44FB4D0B"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39,6%</w:t>
            </w:r>
          </w:p>
        </w:tc>
      </w:tr>
      <w:tr w:rsidR="00C82678" w:rsidRPr="00312485" w14:paraId="5F425572" w14:textId="77777777" w:rsidTr="00992A58">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C96084" w14:textId="3C9D54BE" w:rsidR="00C82678" w:rsidRPr="00312485" w:rsidRDefault="00C82678" w:rsidP="0039375E">
            <w:pPr>
              <w:ind w:firstLine="0"/>
              <w:rPr>
                <w:rFonts w:ascii="Times New Roman" w:hAnsi="Times New Roman"/>
                <w:color w:val="000000"/>
                <w:sz w:val="16"/>
                <w:szCs w:val="16"/>
                <w:lang w:val="ro-MD"/>
              </w:rPr>
            </w:pPr>
            <w:r w:rsidRPr="00312485">
              <w:rPr>
                <w:rFonts w:ascii="Times New Roman" w:hAnsi="Times New Roman"/>
                <w:color w:val="000000"/>
                <w:sz w:val="16"/>
                <w:szCs w:val="16"/>
                <w:lang w:val="ro-MD"/>
              </w:rPr>
              <w:t xml:space="preserve">Cheltuieli recurente, </w:t>
            </w:r>
            <w:r w:rsidRPr="00312485">
              <w:rPr>
                <w:rFonts w:ascii="Times New Roman" w:hAnsi="Times New Roman"/>
                <w:i/>
                <w:color w:val="000000"/>
                <w:sz w:val="16"/>
                <w:szCs w:val="16"/>
                <w:lang w:val="ro-MD"/>
              </w:rPr>
              <w:t>dintre care</w:t>
            </w:r>
            <w:r w:rsidRPr="00312485">
              <w:rPr>
                <w:rFonts w:ascii="Times New Roman" w:hAnsi="Times New Roman"/>
                <w:color w:val="000000"/>
                <w:sz w:val="16"/>
                <w:szCs w:val="16"/>
                <w:lang w:val="ro-MD"/>
              </w:rPr>
              <w:t xml:space="preserve"> </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88744F" w14:textId="16A7568E"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128</w:t>
            </w:r>
            <w:r w:rsidR="00F42CDA" w:rsidRPr="00312485">
              <w:rPr>
                <w:rFonts w:cs="Calibri"/>
                <w:color w:val="000000"/>
                <w:sz w:val="16"/>
                <w:szCs w:val="16"/>
                <w:lang w:val="ro-MD"/>
              </w:rPr>
              <w:t xml:space="preserve"> </w:t>
            </w:r>
            <w:r w:rsidRPr="00312485">
              <w:rPr>
                <w:rFonts w:cs="Calibri"/>
                <w:color w:val="000000"/>
                <w:sz w:val="16"/>
                <w:szCs w:val="16"/>
                <w:lang w:val="ro-MD"/>
              </w:rPr>
              <w:t>952</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51E2B1B2" w14:textId="3B072FCC" w:rsidR="00C82678" w:rsidRPr="00312485" w:rsidRDefault="00C82678" w:rsidP="00F42CDA">
            <w:pPr>
              <w:ind w:firstLine="0"/>
              <w:jc w:val="center"/>
              <w:rPr>
                <w:rFonts w:cs="Calibri"/>
                <w:b/>
                <w:bCs/>
                <w:color w:val="000000"/>
                <w:sz w:val="16"/>
                <w:szCs w:val="16"/>
                <w:lang w:val="ro-MD"/>
              </w:rPr>
            </w:pPr>
            <w:r w:rsidRPr="00312485">
              <w:rPr>
                <w:rFonts w:cs="Calibri"/>
                <w:color w:val="000000"/>
                <w:sz w:val="16"/>
                <w:szCs w:val="16"/>
                <w:lang w:val="ro-MD"/>
              </w:rPr>
              <w:t>138</w:t>
            </w:r>
            <w:r w:rsidR="00F42CDA" w:rsidRPr="00312485">
              <w:rPr>
                <w:rFonts w:cs="Calibri"/>
                <w:color w:val="000000"/>
                <w:sz w:val="16"/>
                <w:szCs w:val="16"/>
                <w:lang w:val="ro-MD"/>
              </w:rPr>
              <w:t xml:space="preserve"> </w:t>
            </w:r>
            <w:r w:rsidRPr="00312485">
              <w:rPr>
                <w:rFonts w:cs="Calibri"/>
                <w:color w:val="000000"/>
                <w:sz w:val="16"/>
                <w:szCs w:val="16"/>
                <w:lang w:val="ro-MD"/>
              </w:rPr>
              <w:t>532</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C7DFF2" w14:textId="2C15E745"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146</w:t>
            </w:r>
            <w:r w:rsidR="00F42CDA" w:rsidRPr="00312485">
              <w:rPr>
                <w:rFonts w:cs="Calibri"/>
                <w:color w:val="000000"/>
                <w:sz w:val="16"/>
                <w:szCs w:val="16"/>
                <w:lang w:val="ro-MD"/>
              </w:rPr>
              <w:t xml:space="preserve"> </w:t>
            </w:r>
            <w:r w:rsidRPr="00312485">
              <w:rPr>
                <w:rFonts w:cs="Calibri"/>
                <w:color w:val="000000"/>
                <w:sz w:val="16"/>
                <w:szCs w:val="16"/>
                <w:lang w:val="ro-MD"/>
              </w:rPr>
              <w:t>593</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E6F812" w14:textId="2122088B"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156</w:t>
            </w:r>
            <w:r w:rsidR="00F42CDA" w:rsidRPr="00312485">
              <w:rPr>
                <w:rFonts w:cs="Calibri"/>
                <w:color w:val="000000"/>
                <w:sz w:val="16"/>
                <w:szCs w:val="16"/>
                <w:lang w:val="ro-MD"/>
              </w:rPr>
              <w:t xml:space="preserve"> </w:t>
            </w:r>
            <w:r w:rsidRPr="00312485">
              <w:rPr>
                <w:rFonts w:cs="Calibri"/>
                <w:color w:val="000000"/>
                <w:sz w:val="16"/>
                <w:szCs w:val="16"/>
                <w:lang w:val="ro-MD"/>
              </w:rPr>
              <w:t>317</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78402" w14:textId="7F49C55A" w:rsidR="00C82678" w:rsidRPr="00312485" w:rsidRDefault="00C82678" w:rsidP="00F42CDA">
            <w:pPr>
              <w:ind w:firstLine="0"/>
              <w:jc w:val="center"/>
              <w:rPr>
                <w:rFonts w:ascii="Times New Roman" w:hAnsi="Times New Roman"/>
                <w:bCs/>
                <w:color w:val="000000"/>
                <w:sz w:val="16"/>
                <w:szCs w:val="16"/>
                <w:lang w:val="ro-MD"/>
              </w:rPr>
            </w:pPr>
            <w:r w:rsidRPr="00312485">
              <w:rPr>
                <w:rFonts w:cs="Calibri"/>
                <w:color w:val="000000"/>
                <w:sz w:val="16"/>
                <w:szCs w:val="16"/>
                <w:lang w:val="ro-MD"/>
              </w:rPr>
              <w:t>162</w:t>
            </w:r>
            <w:r w:rsidR="00F42CDA" w:rsidRPr="00312485">
              <w:rPr>
                <w:rFonts w:cs="Calibri"/>
                <w:color w:val="000000"/>
                <w:sz w:val="16"/>
                <w:szCs w:val="16"/>
                <w:lang w:val="ro-MD"/>
              </w:rPr>
              <w:t xml:space="preserve"> </w:t>
            </w:r>
            <w:r w:rsidRPr="00312485">
              <w:rPr>
                <w:rFonts w:cs="Calibri"/>
                <w:color w:val="000000"/>
                <w:sz w:val="16"/>
                <w:szCs w:val="16"/>
                <w:lang w:val="ro-MD"/>
              </w:rPr>
              <w:t>899</w:t>
            </w:r>
          </w:p>
        </w:tc>
        <w:tc>
          <w:tcPr>
            <w:tcW w:w="847" w:type="dxa"/>
            <w:tcBorders>
              <w:top w:val="single" w:sz="4" w:space="0" w:color="auto"/>
              <w:left w:val="single" w:sz="4" w:space="0" w:color="auto"/>
              <w:bottom w:val="single" w:sz="4" w:space="0" w:color="auto"/>
              <w:right w:val="single" w:sz="4" w:space="0" w:color="auto"/>
            </w:tcBorders>
            <w:vAlign w:val="center"/>
          </w:tcPr>
          <w:p w14:paraId="7A203247"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37,0%</w:t>
            </w:r>
          </w:p>
        </w:tc>
        <w:tc>
          <w:tcPr>
            <w:tcW w:w="718" w:type="dxa"/>
            <w:tcBorders>
              <w:top w:val="single" w:sz="4" w:space="0" w:color="auto"/>
              <w:left w:val="single" w:sz="4" w:space="0" w:color="auto"/>
              <w:bottom w:val="single" w:sz="4" w:space="0" w:color="auto"/>
              <w:right w:val="single" w:sz="4" w:space="0" w:color="auto"/>
            </w:tcBorders>
            <w:vAlign w:val="center"/>
          </w:tcPr>
          <w:p w14:paraId="4035C561"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39,5%</w:t>
            </w:r>
          </w:p>
        </w:tc>
        <w:tc>
          <w:tcPr>
            <w:tcW w:w="851" w:type="dxa"/>
            <w:tcBorders>
              <w:top w:val="single" w:sz="4" w:space="0" w:color="auto"/>
              <w:left w:val="single" w:sz="4" w:space="0" w:color="auto"/>
              <w:bottom w:val="single" w:sz="4" w:space="0" w:color="auto"/>
              <w:right w:val="single" w:sz="4" w:space="0" w:color="auto"/>
            </w:tcBorders>
            <w:vAlign w:val="center"/>
          </w:tcPr>
          <w:p w14:paraId="69E1F02E" w14:textId="77777777" w:rsidR="00C82678" w:rsidRPr="00312485" w:rsidRDefault="00C82678" w:rsidP="00C82678">
            <w:pPr>
              <w:ind w:firstLine="0"/>
              <w:jc w:val="center"/>
              <w:rPr>
                <w:rFonts w:cs="Calibri"/>
                <w:bCs/>
                <w:color w:val="000000"/>
                <w:sz w:val="16"/>
                <w:szCs w:val="16"/>
                <w:lang w:val="ro-MD"/>
              </w:rPr>
            </w:pPr>
            <w:r w:rsidRPr="00312485">
              <w:rPr>
                <w:rFonts w:cs="Calibri"/>
                <w:bCs/>
                <w:color w:val="000000"/>
                <w:sz w:val="16"/>
                <w:szCs w:val="16"/>
                <w:lang w:val="ro-MD"/>
              </w:rPr>
              <w:t>38,5%</w:t>
            </w:r>
          </w:p>
        </w:tc>
        <w:tc>
          <w:tcPr>
            <w:tcW w:w="850" w:type="dxa"/>
            <w:tcBorders>
              <w:top w:val="single" w:sz="4" w:space="0" w:color="auto"/>
              <w:left w:val="single" w:sz="4" w:space="0" w:color="auto"/>
              <w:bottom w:val="single" w:sz="4" w:space="0" w:color="auto"/>
              <w:right w:val="single" w:sz="4" w:space="0" w:color="auto"/>
            </w:tcBorders>
            <w:vAlign w:val="center"/>
          </w:tcPr>
          <w:p w14:paraId="1BC7FBA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38,0%</w:t>
            </w:r>
          </w:p>
        </w:tc>
        <w:tc>
          <w:tcPr>
            <w:tcW w:w="845" w:type="dxa"/>
            <w:tcBorders>
              <w:top w:val="single" w:sz="4" w:space="0" w:color="auto"/>
              <w:left w:val="single" w:sz="4" w:space="0" w:color="auto"/>
              <w:bottom w:val="single" w:sz="4" w:space="0" w:color="auto"/>
              <w:right w:val="single" w:sz="4" w:space="0" w:color="auto"/>
            </w:tcBorders>
            <w:vAlign w:val="center"/>
          </w:tcPr>
          <w:p w14:paraId="620E7243"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37,0%</w:t>
            </w:r>
          </w:p>
        </w:tc>
      </w:tr>
      <w:tr w:rsidR="00C82678" w:rsidRPr="00312485" w14:paraId="5AB2478C" w14:textId="77777777" w:rsidTr="00992A58">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0ED4DFD7" w14:textId="77777777" w:rsidR="00C82678" w:rsidRPr="00312485" w:rsidRDefault="00C82678" w:rsidP="00BD64BA">
            <w:pPr>
              <w:ind w:left="-115" w:right="-107" w:firstLine="0"/>
              <w:jc w:val="center"/>
              <w:rPr>
                <w:rFonts w:ascii="Times New Roman" w:hAnsi="Times New Roman"/>
                <w:color w:val="000000"/>
                <w:sz w:val="16"/>
                <w:szCs w:val="16"/>
                <w:lang w:val="ro-MD"/>
              </w:rPr>
            </w:pPr>
            <w:r w:rsidRPr="00312485">
              <w:rPr>
                <w:i/>
                <w:color w:val="000000"/>
                <w:sz w:val="16"/>
                <w:szCs w:val="16"/>
                <w:lang w:val="ro-MD"/>
              </w:rPr>
              <w:t>- cheltuieli de personal</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tcPr>
          <w:p w14:paraId="179C0463" w14:textId="04A47F15" w:rsidR="00C82678" w:rsidRPr="00312485" w:rsidRDefault="00F42CDA" w:rsidP="00C82678">
            <w:pPr>
              <w:ind w:firstLine="0"/>
              <w:jc w:val="center"/>
              <w:rPr>
                <w:rFonts w:ascii="Times New Roman" w:hAnsi="Times New Roman"/>
                <w:color w:val="000000"/>
                <w:sz w:val="16"/>
                <w:szCs w:val="16"/>
                <w:lang w:val="ro-MD"/>
              </w:rPr>
            </w:pPr>
            <w:r w:rsidRPr="00312485">
              <w:rPr>
                <w:rFonts w:cs="Calibri"/>
                <w:i/>
                <w:iCs/>
                <w:color w:val="000000"/>
                <w:sz w:val="16"/>
                <w:szCs w:val="16"/>
                <w:lang w:val="ro-MD"/>
              </w:rPr>
              <w:t xml:space="preserve">29 </w:t>
            </w:r>
            <w:r w:rsidR="00C82678" w:rsidRPr="00312485">
              <w:rPr>
                <w:rFonts w:cs="Calibri"/>
                <w:i/>
                <w:iCs/>
                <w:color w:val="000000"/>
                <w:sz w:val="16"/>
                <w:szCs w:val="16"/>
                <w:lang w:val="ro-MD"/>
              </w:rPr>
              <w:t>815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5761162A" w14:textId="0E8B19EC" w:rsidR="00C82678" w:rsidRPr="00312485" w:rsidRDefault="00C82678" w:rsidP="00F42CDA">
            <w:pPr>
              <w:ind w:firstLine="0"/>
              <w:jc w:val="center"/>
              <w:rPr>
                <w:rFonts w:cs="Calibri"/>
                <w:b/>
                <w:color w:val="000000"/>
                <w:sz w:val="16"/>
                <w:szCs w:val="16"/>
                <w:lang w:val="ro-MD"/>
              </w:rPr>
            </w:pPr>
            <w:r w:rsidRPr="00312485">
              <w:rPr>
                <w:rFonts w:cs="Calibri"/>
                <w:i/>
                <w:iCs/>
                <w:color w:val="000000"/>
                <w:sz w:val="16"/>
                <w:szCs w:val="16"/>
                <w:lang w:val="ro-MD"/>
              </w:rPr>
              <w:t>30</w:t>
            </w:r>
            <w:r w:rsidR="00F42CDA" w:rsidRPr="00312485">
              <w:rPr>
                <w:rFonts w:cs="Calibri"/>
                <w:i/>
                <w:iCs/>
                <w:color w:val="000000"/>
                <w:sz w:val="16"/>
                <w:szCs w:val="16"/>
                <w:lang w:val="ro-MD"/>
              </w:rPr>
              <w:t xml:space="preserve"> </w:t>
            </w:r>
            <w:r w:rsidRPr="00312485">
              <w:rPr>
                <w:rFonts w:cs="Calibri"/>
                <w:i/>
                <w:iCs/>
                <w:color w:val="000000"/>
                <w:sz w:val="16"/>
                <w:szCs w:val="16"/>
                <w:lang w:val="ro-MD"/>
              </w:rPr>
              <w:t>437</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tcPr>
          <w:p w14:paraId="429C3F0C" w14:textId="7B0DF800" w:rsidR="00C82678" w:rsidRPr="00312485" w:rsidRDefault="00C82678" w:rsidP="00F42CDA">
            <w:pPr>
              <w:ind w:firstLine="0"/>
              <w:jc w:val="center"/>
              <w:rPr>
                <w:rFonts w:ascii="Times New Roman" w:hAnsi="Times New Roman"/>
                <w:color w:val="000000"/>
                <w:sz w:val="16"/>
                <w:szCs w:val="16"/>
                <w:lang w:val="ro-MD"/>
              </w:rPr>
            </w:pPr>
            <w:r w:rsidRPr="00312485">
              <w:rPr>
                <w:rFonts w:cs="Calibri"/>
                <w:i/>
                <w:iCs/>
                <w:color w:val="000000"/>
                <w:sz w:val="16"/>
                <w:szCs w:val="16"/>
                <w:lang w:val="ro-MD"/>
              </w:rPr>
              <w:t>32</w:t>
            </w:r>
            <w:r w:rsidR="00F42CDA" w:rsidRPr="00312485">
              <w:rPr>
                <w:rFonts w:cs="Calibri"/>
                <w:i/>
                <w:iCs/>
                <w:color w:val="000000"/>
                <w:sz w:val="16"/>
                <w:szCs w:val="16"/>
                <w:lang w:val="ro-MD"/>
              </w:rPr>
              <w:t xml:space="preserve"> </w:t>
            </w:r>
            <w:r w:rsidRPr="00312485">
              <w:rPr>
                <w:rFonts w:cs="Calibri"/>
                <w:i/>
                <w:iCs/>
                <w:color w:val="000000"/>
                <w:sz w:val="16"/>
                <w:szCs w:val="16"/>
                <w:lang w:val="ro-MD"/>
              </w:rPr>
              <w:t>442</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tcPr>
          <w:p w14:paraId="7F2B7783" w14:textId="521AAE6B" w:rsidR="00C82678" w:rsidRPr="00312485" w:rsidRDefault="00C82678" w:rsidP="00C82678">
            <w:pPr>
              <w:ind w:firstLine="0"/>
              <w:jc w:val="center"/>
              <w:rPr>
                <w:rFonts w:ascii="Times New Roman" w:hAnsi="Times New Roman"/>
                <w:color w:val="000000"/>
                <w:sz w:val="16"/>
                <w:szCs w:val="16"/>
                <w:lang w:val="ro-MD"/>
              </w:rPr>
            </w:pPr>
            <w:r w:rsidRPr="00312485">
              <w:rPr>
                <w:rFonts w:cs="Calibri"/>
                <w:i/>
                <w:iCs/>
                <w:color w:val="000000"/>
                <w:sz w:val="16"/>
                <w:szCs w:val="16"/>
                <w:lang w:val="ro-MD"/>
              </w:rPr>
              <w:t>3</w:t>
            </w:r>
            <w:r w:rsidR="00F42CDA" w:rsidRPr="00312485">
              <w:rPr>
                <w:rFonts w:cs="Calibri"/>
                <w:i/>
                <w:iCs/>
                <w:color w:val="000000"/>
                <w:sz w:val="16"/>
                <w:szCs w:val="16"/>
                <w:lang w:val="ro-MD"/>
              </w:rPr>
              <w:t xml:space="preserve">3 </w:t>
            </w:r>
            <w:r w:rsidRPr="00312485">
              <w:rPr>
                <w:rFonts w:cs="Calibri"/>
                <w:i/>
                <w:iCs/>
                <w:color w:val="000000"/>
                <w:sz w:val="16"/>
                <w:szCs w:val="16"/>
                <w:lang w:val="ro-MD"/>
              </w:rPr>
              <w:t>585</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14:paraId="4194D9B8" w14:textId="2DE95343" w:rsidR="00C82678" w:rsidRPr="00312485" w:rsidRDefault="00C82678" w:rsidP="00F42CDA">
            <w:pPr>
              <w:ind w:firstLine="0"/>
              <w:jc w:val="center"/>
              <w:rPr>
                <w:rFonts w:ascii="Times New Roman" w:hAnsi="Times New Roman"/>
                <w:color w:val="000000"/>
                <w:sz w:val="16"/>
                <w:szCs w:val="16"/>
                <w:lang w:val="ro-MD"/>
              </w:rPr>
            </w:pPr>
            <w:r w:rsidRPr="00312485">
              <w:rPr>
                <w:rFonts w:cs="Calibri"/>
                <w:i/>
                <w:iCs/>
                <w:color w:val="000000"/>
                <w:sz w:val="16"/>
                <w:szCs w:val="16"/>
                <w:lang w:val="ro-MD"/>
              </w:rPr>
              <w:t>35</w:t>
            </w:r>
            <w:r w:rsidR="00F42CDA" w:rsidRPr="00312485">
              <w:rPr>
                <w:rFonts w:cs="Calibri"/>
                <w:i/>
                <w:iCs/>
                <w:color w:val="000000"/>
                <w:sz w:val="16"/>
                <w:szCs w:val="16"/>
                <w:lang w:val="ro-MD"/>
              </w:rPr>
              <w:t xml:space="preserve"> </w:t>
            </w:r>
            <w:r w:rsidRPr="00312485">
              <w:rPr>
                <w:rFonts w:cs="Calibri"/>
                <w:i/>
                <w:iCs/>
                <w:color w:val="000000"/>
                <w:sz w:val="16"/>
                <w:szCs w:val="16"/>
                <w:lang w:val="ro-MD"/>
              </w:rPr>
              <w:t>948</w:t>
            </w:r>
          </w:p>
        </w:tc>
        <w:tc>
          <w:tcPr>
            <w:tcW w:w="847" w:type="dxa"/>
            <w:tcBorders>
              <w:top w:val="single" w:sz="4" w:space="0" w:color="auto"/>
              <w:left w:val="single" w:sz="4" w:space="0" w:color="auto"/>
              <w:bottom w:val="single" w:sz="4" w:space="0" w:color="auto"/>
              <w:right w:val="single" w:sz="4" w:space="0" w:color="auto"/>
            </w:tcBorders>
            <w:vAlign w:val="center"/>
          </w:tcPr>
          <w:p w14:paraId="06714EE0"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8,6%</w:t>
            </w:r>
          </w:p>
        </w:tc>
        <w:tc>
          <w:tcPr>
            <w:tcW w:w="718" w:type="dxa"/>
            <w:tcBorders>
              <w:top w:val="single" w:sz="4" w:space="0" w:color="auto"/>
              <w:left w:val="single" w:sz="4" w:space="0" w:color="auto"/>
              <w:bottom w:val="single" w:sz="4" w:space="0" w:color="auto"/>
              <w:right w:val="single" w:sz="4" w:space="0" w:color="auto"/>
            </w:tcBorders>
            <w:vAlign w:val="center"/>
          </w:tcPr>
          <w:p w14:paraId="43EB917C"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8,7%</w:t>
            </w:r>
          </w:p>
        </w:tc>
        <w:tc>
          <w:tcPr>
            <w:tcW w:w="851" w:type="dxa"/>
            <w:tcBorders>
              <w:top w:val="single" w:sz="4" w:space="0" w:color="auto"/>
              <w:left w:val="single" w:sz="4" w:space="0" w:color="auto"/>
              <w:bottom w:val="single" w:sz="4" w:space="0" w:color="auto"/>
              <w:right w:val="single" w:sz="4" w:space="0" w:color="auto"/>
            </w:tcBorders>
            <w:vAlign w:val="center"/>
          </w:tcPr>
          <w:p w14:paraId="3F391F09" w14:textId="77777777" w:rsidR="00C82678" w:rsidRPr="00312485" w:rsidRDefault="00C82678" w:rsidP="00C82678">
            <w:pPr>
              <w:ind w:firstLine="0"/>
              <w:jc w:val="center"/>
              <w:rPr>
                <w:rFonts w:cs="Calibri"/>
                <w:color w:val="000000"/>
                <w:sz w:val="16"/>
                <w:szCs w:val="16"/>
                <w:lang w:val="ro-MD"/>
              </w:rPr>
            </w:pPr>
            <w:r w:rsidRPr="00312485">
              <w:rPr>
                <w:rFonts w:cs="Calibri"/>
                <w:bCs/>
                <w:color w:val="000000"/>
                <w:sz w:val="16"/>
                <w:szCs w:val="16"/>
                <w:lang w:val="ro-MD"/>
              </w:rPr>
              <w:t>8,5%</w:t>
            </w:r>
          </w:p>
        </w:tc>
        <w:tc>
          <w:tcPr>
            <w:tcW w:w="850" w:type="dxa"/>
            <w:tcBorders>
              <w:top w:val="single" w:sz="4" w:space="0" w:color="auto"/>
              <w:left w:val="single" w:sz="4" w:space="0" w:color="auto"/>
              <w:bottom w:val="single" w:sz="4" w:space="0" w:color="auto"/>
              <w:right w:val="single" w:sz="4" w:space="0" w:color="auto"/>
            </w:tcBorders>
            <w:vAlign w:val="center"/>
          </w:tcPr>
          <w:p w14:paraId="0D685FB5"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8,2%</w:t>
            </w:r>
          </w:p>
        </w:tc>
        <w:tc>
          <w:tcPr>
            <w:tcW w:w="845" w:type="dxa"/>
            <w:tcBorders>
              <w:top w:val="single" w:sz="4" w:space="0" w:color="auto"/>
              <w:left w:val="single" w:sz="4" w:space="0" w:color="auto"/>
              <w:bottom w:val="single" w:sz="4" w:space="0" w:color="auto"/>
              <w:right w:val="single" w:sz="4" w:space="0" w:color="auto"/>
            </w:tcBorders>
            <w:vAlign w:val="center"/>
          </w:tcPr>
          <w:p w14:paraId="782C6882"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8,2%</w:t>
            </w:r>
          </w:p>
        </w:tc>
      </w:tr>
      <w:tr w:rsidR="00C82678" w:rsidRPr="00312485" w14:paraId="576B7A05" w14:textId="77777777" w:rsidTr="00992A58">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046FBDAC" w14:textId="77777777" w:rsidR="00C82678" w:rsidRPr="00312485" w:rsidRDefault="00C82678" w:rsidP="00BD64BA">
            <w:pPr>
              <w:ind w:left="-115" w:firstLine="0"/>
              <w:jc w:val="center"/>
              <w:rPr>
                <w:rFonts w:ascii="Times New Roman" w:hAnsi="Times New Roman"/>
                <w:color w:val="000000"/>
                <w:sz w:val="16"/>
                <w:szCs w:val="16"/>
                <w:lang w:val="ro-MD"/>
              </w:rPr>
            </w:pPr>
            <w:r w:rsidRPr="00312485">
              <w:rPr>
                <w:i/>
                <w:color w:val="000000"/>
                <w:sz w:val="16"/>
                <w:szCs w:val="16"/>
                <w:lang w:val="ro-MD"/>
              </w:rPr>
              <w:t>- dobânzi</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tcPr>
          <w:p w14:paraId="4DCC33F8" w14:textId="3A07AA41" w:rsidR="00C82678" w:rsidRPr="00312485" w:rsidRDefault="00C82678" w:rsidP="00F42CDA">
            <w:pPr>
              <w:ind w:firstLine="0"/>
              <w:jc w:val="center"/>
              <w:rPr>
                <w:rFonts w:ascii="Times New Roman" w:hAnsi="Times New Roman"/>
                <w:color w:val="000000"/>
                <w:sz w:val="16"/>
                <w:szCs w:val="16"/>
                <w:lang w:val="ro-MD"/>
              </w:rPr>
            </w:pPr>
            <w:r w:rsidRPr="00312485">
              <w:rPr>
                <w:rFonts w:cs="Calibri"/>
                <w:i/>
                <w:iCs/>
                <w:color w:val="000000"/>
                <w:sz w:val="16"/>
                <w:szCs w:val="16"/>
                <w:lang w:val="ro-MD"/>
              </w:rPr>
              <w:t>4</w:t>
            </w:r>
            <w:r w:rsidR="00F42CDA" w:rsidRPr="00312485">
              <w:rPr>
                <w:rFonts w:cs="Calibri"/>
                <w:i/>
                <w:iCs/>
                <w:color w:val="000000"/>
                <w:sz w:val="16"/>
                <w:szCs w:val="16"/>
                <w:lang w:val="ro-MD"/>
              </w:rPr>
              <w:t xml:space="preserve"> </w:t>
            </w:r>
            <w:r w:rsidRPr="00312485">
              <w:rPr>
                <w:rFonts w:cs="Calibri"/>
                <w:i/>
                <w:iCs/>
                <w:color w:val="000000"/>
                <w:sz w:val="16"/>
                <w:szCs w:val="16"/>
                <w:lang w:val="ro-MD"/>
              </w:rPr>
              <w:t>803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2DF28BAF" w14:textId="77261159" w:rsidR="00C82678" w:rsidRPr="00312485" w:rsidRDefault="00C82678" w:rsidP="00F42CDA">
            <w:pPr>
              <w:ind w:firstLine="0"/>
              <w:jc w:val="center"/>
              <w:rPr>
                <w:rFonts w:cs="Calibri"/>
                <w:b/>
                <w:color w:val="000000"/>
                <w:sz w:val="16"/>
                <w:szCs w:val="16"/>
                <w:lang w:val="ro-MD"/>
              </w:rPr>
            </w:pPr>
            <w:r w:rsidRPr="00312485">
              <w:rPr>
                <w:rFonts w:cs="Calibri"/>
                <w:i/>
                <w:iCs/>
                <w:color w:val="000000"/>
                <w:sz w:val="16"/>
                <w:szCs w:val="16"/>
                <w:lang w:val="ro-MD"/>
              </w:rPr>
              <w:t>4</w:t>
            </w:r>
            <w:r w:rsidR="00F42CDA" w:rsidRPr="00312485">
              <w:rPr>
                <w:rFonts w:cs="Calibri"/>
                <w:i/>
                <w:iCs/>
                <w:color w:val="000000"/>
                <w:sz w:val="16"/>
                <w:szCs w:val="16"/>
                <w:lang w:val="ro-MD"/>
              </w:rPr>
              <w:t xml:space="preserve"> </w:t>
            </w:r>
            <w:r w:rsidRPr="00312485">
              <w:rPr>
                <w:rFonts w:cs="Calibri"/>
                <w:i/>
                <w:iCs/>
                <w:color w:val="000000"/>
                <w:sz w:val="16"/>
                <w:szCs w:val="16"/>
                <w:lang w:val="ro-MD"/>
              </w:rPr>
              <w:t>878</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tcPr>
          <w:p w14:paraId="4CE58334" w14:textId="4D99CD63" w:rsidR="00C82678" w:rsidRPr="00312485" w:rsidRDefault="00C82678" w:rsidP="00293005">
            <w:pPr>
              <w:ind w:firstLine="0"/>
              <w:jc w:val="center"/>
              <w:rPr>
                <w:rFonts w:ascii="Times New Roman" w:hAnsi="Times New Roman"/>
                <w:color w:val="000000"/>
                <w:sz w:val="16"/>
                <w:szCs w:val="16"/>
                <w:lang w:val="ro-MD"/>
              </w:rPr>
            </w:pPr>
            <w:r w:rsidRPr="00312485">
              <w:rPr>
                <w:rFonts w:cs="Calibri"/>
                <w:i/>
                <w:iCs/>
                <w:color w:val="000000"/>
                <w:sz w:val="16"/>
                <w:szCs w:val="16"/>
                <w:lang w:val="ro-MD"/>
              </w:rPr>
              <w:t>6</w:t>
            </w:r>
            <w:r w:rsidR="00293005" w:rsidRPr="00312485">
              <w:rPr>
                <w:rFonts w:cs="Calibri"/>
                <w:i/>
                <w:iCs/>
                <w:color w:val="000000"/>
                <w:sz w:val="16"/>
                <w:szCs w:val="16"/>
                <w:lang w:val="ro-MD"/>
              </w:rPr>
              <w:t xml:space="preserve"> </w:t>
            </w:r>
            <w:r w:rsidRPr="00312485">
              <w:rPr>
                <w:rFonts w:cs="Calibri"/>
                <w:i/>
                <w:iCs/>
                <w:color w:val="000000"/>
                <w:sz w:val="16"/>
                <w:szCs w:val="16"/>
                <w:lang w:val="ro-MD"/>
              </w:rPr>
              <w:t>156</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tcPr>
          <w:p w14:paraId="1BE7386F" w14:textId="61E40240" w:rsidR="00C82678" w:rsidRPr="00312485" w:rsidRDefault="00C82678" w:rsidP="00293005">
            <w:pPr>
              <w:ind w:firstLine="0"/>
              <w:jc w:val="center"/>
              <w:rPr>
                <w:rFonts w:ascii="Times New Roman" w:hAnsi="Times New Roman"/>
                <w:color w:val="000000"/>
                <w:sz w:val="16"/>
                <w:szCs w:val="16"/>
                <w:lang w:val="ro-MD"/>
              </w:rPr>
            </w:pPr>
            <w:r w:rsidRPr="00312485">
              <w:rPr>
                <w:rFonts w:cs="Calibri"/>
                <w:i/>
                <w:iCs/>
                <w:color w:val="000000"/>
                <w:sz w:val="16"/>
                <w:szCs w:val="16"/>
                <w:lang w:val="ro-MD"/>
              </w:rPr>
              <w:t>6</w:t>
            </w:r>
            <w:r w:rsidR="00293005" w:rsidRPr="00312485">
              <w:rPr>
                <w:rFonts w:cs="Calibri"/>
                <w:i/>
                <w:iCs/>
                <w:color w:val="000000"/>
                <w:sz w:val="16"/>
                <w:szCs w:val="16"/>
                <w:lang w:val="ro-MD"/>
              </w:rPr>
              <w:t xml:space="preserve"> </w:t>
            </w:r>
            <w:r w:rsidRPr="00312485">
              <w:rPr>
                <w:rFonts w:cs="Calibri"/>
                <w:i/>
                <w:iCs/>
                <w:color w:val="000000"/>
                <w:sz w:val="16"/>
                <w:szCs w:val="16"/>
                <w:lang w:val="ro-MD"/>
              </w:rPr>
              <w:t>850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14:paraId="106CCC4D" w14:textId="412687E6" w:rsidR="00C82678" w:rsidRPr="00312485" w:rsidRDefault="00C82678" w:rsidP="00293005">
            <w:pPr>
              <w:ind w:firstLine="0"/>
              <w:jc w:val="center"/>
              <w:rPr>
                <w:rFonts w:ascii="Times New Roman" w:hAnsi="Times New Roman"/>
                <w:color w:val="000000"/>
                <w:sz w:val="16"/>
                <w:szCs w:val="16"/>
                <w:lang w:val="ro-MD"/>
              </w:rPr>
            </w:pPr>
            <w:r w:rsidRPr="00312485">
              <w:rPr>
                <w:rFonts w:cs="Calibri"/>
                <w:i/>
                <w:iCs/>
                <w:color w:val="000000"/>
                <w:sz w:val="16"/>
                <w:szCs w:val="16"/>
                <w:lang w:val="ro-MD"/>
              </w:rPr>
              <w:t>7</w:t>
            </w:r>
            <w:r w:rsidR="00293005" w:rsidRPr="00312485">
              <w:rPr>
                <w:rFonts w:cs="Calibri"/>
                <w:i/>
                <w:iCs/>
                <w:color w:val="000000"/>
                <w:sz w:val="16"/>
                <w:szCs w:val="16"/>
                <w:lang w:val="ro-MD"/>
              </w:rPr>
              <w:t xml:space="preserve"> </w:t>
            </w:r>
            <w:r w:rsidRPr="00312485">
              <w:rPr>
                <w:rFonts w:cs="Calibri"/>
                <w:i/>
                <w:iCs/>
                <w:color w:val="000000"/>
                <w:sz w:val="16"/>
                <w:szCs w:val="16"/>
                <w:lang w:val="ro-MD"/>
              </w:rPr>
              <w:t>219</w:t>
            </w:r>
          </w:p>
        </w:tc>
        <w:tc>
          <w:tcPr>
            <w:tcW w:w="847" w:type="dxa"/>
            <w:tcBorders>
              <w:top w:val="single" w:sz="4" w:space="0" w:color="auto"/>
              <w:left w:val="single" w:sz="4" w:space="0" w:color="auto"/>
              <w:bottom w:val="single" w:sz="4" w:space="0" w:color="auto"/>
              <w:right w:val="single" w:sz="4" w:space="0" w:color="auto"/>
            </w:tcBorders>
            <w:vAlign w:val="center"/>
          </w:tcPr>
          <w:p w14:paraId="38E64E82"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1,4%</w:t>
            </w:r>
          </w:p>
        </w:tc>
        <w:tc>
          <w:tcPr>
            <w:tcW w:w="718" w:type="dxa"/>
            <w:tcBorders>
              <w:top w:val="single" w:sz="4" w:space="0" w:color="auto"/>
              <w:left w:val="single" w:sz="4" w:space="0" w:color="auto"/>
              <w:bottom w:val="single" w:sz="4" w:space="0" w:color="auto"/>
              <w:right w:val="single" w:sz="4" w:space="0" w:color="auto"/>
            </w:tcBorders>
            <w:vAlign w:val="center"/>
          </w:tcPr>
          <w:p w14:paraId="765EB554"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1,4%</w:t>
            </w:r>
          </w:p>
        </w:tc>
        <w:tc>
          <w:tcPr>
            <w:tcW w:w="851" w:type="dxa"/>
            <w:tcBorders>
              <w:top w:val="single" w:sz="4" w:space="0" w:color="auto"/>
              <w:left w:val="single" w:sz="4" w:space="0" w:color="auto"/>
              <w:bottom w:val="single" w:sz="4" w:space="0" w:color="auto"/>
              <w:right w:val="single" w:sz="4" w:space="0" w:color="auto"/>
            </w:tcBorders>
            <w:vAlign w:val="center"/>
          </w:tcPr>
          <w:p w14:paraId="2A5F4B22" w14:textId="77777777" w:rsidR="00C82678" w:rsidRPr="00312485" w:rsidRDefault="00C82678" w:rsidP="00C82678">
            <w:pPr>
              <w:ind w:firstLine="0"/>
              <w:jc w:val="center"/>
              <w:rPr>
                <w:rFonts w:cs="Calibri"/>
                <w:color w:val="000000"/>
                <w:sz w:val="16"/>
                <w:szCs w:val="16"/>
                <w:lang w:val="ro-MD"/>
              </w:rPr>
            </w:pPr>
            <w:r w:rsidRPr="00312485">
              <w:rPr>
                <w:rFonts w:cs="Calibri"/>
                <w:bCs/>
                <w:color w:val="000000"/>
                <w:sz w:val="16"/>
                <w:szCs w:val="16"/>
                <w:lang w:val="ro-MD"/>
              </w:rPr>
              <w:t>1,6%</w:t>
            </w:r>
          </w:p>
        </w:tc>
        <w:tc>
          <w:tcPr>
            <w:tcW w:w="850" w:type="dxa"/>
            <w:tcBorders>
              <w:top w:val="single" w:sz="4" w:space="0" w:color="auto"/>
              <w:left w:val="single" w:sz="4" w:space="0" w:color="auto"/>
              <w:bottom w:val="single" w:sz="4" w:space="0" w:color="auto"/>
              <w:right w:val="single" w:sz="4" w:space="0" w:color="auto"/>
            </w:tcBorders>
            <w:vAlign w:val="center"/>
          </w:tcPr>
          <w:p w14:paraId="24D21552"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1,7%</w:t>
            </w:r>
          </w:p>
        </w:tc>
        <w:tc>
          <w:tcPr>
            <w:tcW w:w="845" w:type="dxa"/>
            <w:tcBorders>
              <w:top w:val="single" w:sz="4" w:space="0" w:color="auto"/>
              <w:left w:val="single" w:sz="4" w:space="0" w:color="auto"/>
              <w:bottom w:val="single" w:sz="4" w:space="0" w:color="auto"/>
              <w:right w:val="single" w:sz="4" w:space="0" w:color="auto"/>
            </w:tcBorders>
            <w:vAlign w:val="center"/>
          </w:tcPr>
          <w:p w14:paraId="2A88A695"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cs="Calibri"/>
                <w:bCs/>
                <w:color w:val="000000"/>
                <w:sz w:val="16"/>
                <w:szCs w:val="16"/>
                <w:lang w:val="ro-MD"/>
              </w:rPr>
              <w:t>1,6%</w:t>
            </w:r>
          </w:p>
        </w:tc>
      </w:tr>
      <w:tr w:rsidR="00C82678" w:rsidRPr="00312485" w14:paraId="20ADE5FE" w14:textId="77777777" w:rsidTr="00992A58">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34EE21" w14:textId="77777777" w:rsidR="00C82678" w:rsidRPr="00312485" w:rsidRDefault="00C82678" w:rsidP="00C82678">
            <w:pPr>
              <w:ind w:left="175" w:firstLine="0"/>
              <w:rPr>
                <w:rFonts w:ascii="Times New Roman" w:hAnsi="Times New Roman"/>
                <w:color w:val="000000"/>
                <w:sz w:val="16"/>
                <w:szCs w:val="16"/>
                <w:lang w:val="ro-MD"/>
              </w:rPr>
            </w:pPr>
            <w:r w:rsidRPr="00312485">
              <w:rPr>
                <w:rFonts w:ascii="Times New Roman" w:hAnsi="Times New Roman"/>
                <w:color w:val="000000"/>
                <w:sz w:val="16"/>
                <w:szCs w:val="16"/>
                <w:lang w:val="ro-MD"/>
              </w:rPr>
              <w:t>Investiții capitale</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A0396F" w14:textId="205D79B4"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color w:val="000000"/>
                <w:sz w:val="16"/>
                <w:szCs w:val="16"/>
                <w:lang w:val="ro-MD"/>
              </w:rPr>
              <w:t>4</w:t>
            </w:r>
            <w:r w:rsidR="00293005" w:rsidRPr="00312485">
              <w:rPr>
                <w:rFonts w:cs="Calibri"/>
                <w:color w:val="000000"/>
                <w:sz w:val="16"/>
                <w:szCs w:val="16"/>
                <w:lang w:val="ro-MD"/>
              </w:rPr>
              <w:t xml:space="preserve"> </w:t>
            </w:r>
            <w:r w:rsidRPr="00312485">
              <w:rPr>
                <w:rFonts w:cs="Calibri"/>
                <w:color w:val="000000"/>
                <w:sz w:val="16"/>
                <w:szCs w:val="16"/>
                <w:lang w:val="ro-MD"/>
              </w:rPr>
              <w:t>395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7BC8422B" w14:textId="5F2008C9" w:rsidR="00C82678" w:rsidRPr="00312485" w:rsidRDefault="00C82678" w:rsidP="00293005">
            <w:pPr>
              <w:ind w:firstLine="0"/>
              <w:jc w:val="center"/>
              <w:rPr>
                <w:rFonts w:cs="Calibri"/>
                <w:b/>
                <w:bCs/>
                <w:color w:val="000000"/>
                <w:sz w:val="16"/>
                <w:szCs w:val="16"/>
                <w:lang w:val="ro-MD"/>
              </w:rPr>
            </w:pPr>
            <w:r w:rsidRPr="00312485">
              <w:rPr>
                <w:rFonts w:cs="Calibri"/>
                <w:color w:val="000000"/>
                <w:sz w:val="16"/>
                <w:szCs w:val="16"/>
                <w:lang w:val="ro-MD"/>
              </w:rPr>
              <w:t>3</w:t>
            </w:r>
            <w:r w:rsidR="00293005" w:rsidRPr="00312485">
              <w:rPr>
                <w:rFonts w:cs="Calibri"/>
                <w:color w:val="000000"/>
                <w:sz w:val="16"/>
                <w:szCs w:val="16"/>
                <w:lang w:val="ro-MD"/>
              </w:rPr>
              <w:t xml:space="preserve"> </w:t>
            </w:r>
            <w:r w:rsidRPr="00312485">
              <w:rPr>
                <w:rFonts w:cs="Calibri"/>
                <w:color w:val="000000"/>
                <w:sz w:val="16"/>
                <w:szCs w:val="16"/>
                <w:lang w:val="ro-MD"/>
              </w:rPr>
              <w:t>626</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9F6CB9" w14:textId="7476AC8E"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color w:val="000000"/>
                <w:sz w:val="16"/>
                <w:szCs w:val="16"/>
                <w:lang w:val="ro-MD"/>
              </w:rPr>
              <w:t>5</w:t>
            </w:r>
            <w:r w:rsidR="00293005" w:rsidRPr="00312485">
              <w:rPr>
                <w:rFonts w:cs="Calibri"/>
                <w:color w:val="000000"/>
                <w:sz w:val="16"/>
                <w:szCs w:val="16"/>
                <w:lang w:val="ro-MD"/>
              </w:rPr>
              <w:t xml:space="preserve"> </w:t>
            </w:r>
            <w:r w:rsidRPr="00312485">
              <w:rPr>
                <w:rFonts w:cs="Calibri"/>
                <w:color w:val="000000"/>
                <w:sz w:val="16"/>
                <w:szCs w:val="16"/>
                <w:lang w:val="ro-MD"/>
              </w:rPr>
              <w:t>825</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1ACDDA" w14:textId="60EE372C"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color w:val="000000"/>
                <w:sz w:val="16"/>
                <w:szCs w:val="16"/>
                <w:lang w:val="ro-MD"/>
              </w:rPr>
              <w:t>9</w:t>
            </w:r>
            <w:r w:rsidR="00293005" w:rsidRPr="00312485">
              <w:rPr>
                <w:rFonts w:cs="Calibri"/>
                <w:color w:val="000000"/>
                <w:sz w:val="16"/>
                <w:szCs w:val="16"/>
                <w:lang w:val="ro-MD"/>
              </w:rPr>
              <w:t xml:space="preserve"> </w:t>
            </w:r>
            <w:r w:rsidRPr="00312485">
              <w:rPr>
                <w:rFonts w:cs="Calibri"/>
                <w:color w:val="000000"/>
                <w:sz w:val="16"/>
                <w:szCs w:val="16"/>
                <w:lang w:val="ro-MD"/>
              </w:rPr>
              <w:t>011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57D319" w14:textId="35EF0C00"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color w:val="000000"/>
                <w:sz w:val="16"/>
                <w:szCs w:val="16"/>
                <w:lang w:val="ro-MD"/>
              </w:rPr>
              <w:t>11</w:t>
            </w:r>
            <w:r w:rsidR="00293005" w:rsidRPr="00312485">
              <w:rPr>
                <w:rFonts w:cs="Calibri"/>
                <w:color w:val="000000"/>
                <w:sz w:val="16"/>
                <w:szCs w:val="16"/>
                <w:lang w:val="ro-MD"/>
              </w:rPr>
              <w:t xml:space="preserve"> </w:t>
            </w:r>
            <w:r w:rsidRPr="00312485">
              <w:rPr>
                <w:rFonts w:cs="Calibri"/>
                <w:color w:val="000000"/>
                <w:sz w:val="16"/>
                <w:szCs w:val="16"/>
                <w:lang w:val="ro-MD"/>
              </w:rPr>
              <w:t>491</w:t>
            </w:r>
          </w:p>
        </w:tc>
        <w:tc>
          <w:tcPr>
            <w:tcW w:w="847" w:type="dxa"/>
            <w:tcBorders>
              <w:top w:val="single" w:sz="4" w:space="0" w:color="auto"/>
              <w:left w:val="single" w:sz="4" w:space="0" w:color="auto"/>
              <w:bottom w:val="single" w:sz="4" w:space="0" w:color="auto"/>
              <w:right w:val="single" w:sz="4" w:space="0" w:color="auto"/>
            </w:tcBorders>
            <w:vAlign w:val="center"/>
          </w:tcPr>
          <w:p w14:paraId="3A4A5B0C"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1,3%</w:t>
            </w:r>
          </w:p>
        </w:tc>
        <w:tc>
          <w:tcPr>
            <w:tcW w:w="718" w:type="dxa"/>
            <w:tcBorders>
              <w:top w:val="single" w:sz="4" w:space="0" w:color="auto"/>
              <w:left w:val="single" w:sz="4" w:space="0" w:color="auto"/>
              <w:bottom w:val="single" w:sz="4" w:space="0" w:color="auto"/>
              <w:right w:val="single" w:sz="4" w:space="0" w:color="auto"/>
            </w:tcBorders>
            <w:vAlign w:val="center"/>
          </w:tcPr>
          <w:p w14:paraId="5193A3AA"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1,0%</w:t>
            </w:r>
          </w:p>
        </w:tc>
        <w:tc>
          <w:tcPr>
            <w:tcW w:w="851" w:type="dxa"/>
            <w:tcBorders>
              <w:top w:val="single" w:sz="4" w:space="0" w:color="auto"/>
              <w:left w:val="single" w:sz="4" w:space="0" w:color="auto"/>
              <w:bottom w:val="single" w:sz="4" w:space="0" w:color="auto"/>
              <w:right w:val="single" w:sz="4" w:space="0" w:color="auto"/>
            </w:tcBorders>
            <w:vAlign w:val="center"/>
          </w:tcPr>
          <w:p w14:paraId="27FA9577" w14:textId="77777777" w:rsidR="00C82678" w:rsidRPr="00312485" w:rsidRDefault="00C82678" w:rsidP="00C82678">
            <w:pPr>
              <w:ind w:firstLine="0"/>
              <w:jc w:val="center"/>
              <w:rPr>
                <w:rFonts w:cs="Calibri"/>
                <w:bCs/>
                <w:color w:val="000000"/>
                <w:sz w:val="16"/>
                <w:szCs w:val="16"/>
                <w:lang w:val="ro-MD"/>
              </w:rPr>
            </w:pPr>
            <w:r w:rsidRPr="00312485">
              <w:rPr>
                <w:rFonts w:cs="Calibri"/>
                <w:bCs/>
                <w:color w:val="000000"/>
                <w:sz w:val="16"/>
                <w:szCs w:val="16"/>
                <w:lang w:val="ro-MD"/>
              </w:rPr>
              <w:t>1,5%</w:t>
            </w:r>
          </w:p>
        </w:tc>
        <w:tc>
          <w:tcPr>
            <w:tcW w:w="850" w:type="dxa"/>
            <w:tcBorders>
              <w:top w:val="single" w:sz="4" w:space="0" w:color="auto"/>
              <w:left w:val="single" w:sz="4" w:space="0" w:color="auto"/>
              <w:bottom w:val="single" w:sz="4" w:space="0" w:color="auto"/>
              <w:right w:val="single" w:sz="4" w:space="0" w:color="auto"/>
            </w:tcBorders>
            <w:vAlign w:val="center"/>
          </w:tcPr>
          <w:p w14:paraId="5344AE80"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2,2%</w:t>
            </w:r>
          </w:p>
        </w:tc>
        <w:tc>
          <w:tcPr>
            <w:tcW w:w="845" w:type="dxa"/>
            <w:tcBorders>
              <w:top w:val="single" w:sz="4" w:space="0" w:color="auto"/>
              <w:left w:val="single" w:sz="4" w:space="0" w:color="auto"/>
              <w:bottom w:val="single" w:sz="4" w:space="0" w:color="auto"/>
              <w:right w:val="single" w:sz="4" w:space="0" w:color="auto"/>
            </w:tcBorders>
            <w:vAlign w:val="center"/>
          </w:tcPr>
          <w:p w14:paraId="0CE74E27"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Cs/>
                <w:color w:val="000000"/>
                <w:sz w:val="16"/>
                <w:szCs w:val="16"/>
                <w:lang w:val="ro-MD"/>
              </w:rPr>
              <w:t>2,6%</w:t>
            </w:r>
          </w:p>
        </w:tc>
      </w:tr>
      <w:tr w:rsidR="00C82678" w:rsidRPr="00312485" w14:paraId="57372AF3" w14:textId="77777777" w:rsidTr="00992A58">
        <w:trPr>
          <w:trHeight w:val="354"/>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D011D" w14:textId="1432C0D3" w:rsidR="00EC483F" w:rsidRPr="00312485" w:rsidRDefault="00C82678" w:rsidP="00186C88">
            <w:pPr>
              <w:ind w:right="-114" w:firstLine="0"/>
              <w:rPr>
                <w:rFonts w:ascii="Times New Roman" w:hAnsi="Times New Roman"/>
                <w:b/>
                <w:color w:val="000000"/>
                <w:sz w:val="16"/>
                <w:szCs w:val="16"/>
                <w:lang w:val="ro-MD"/>
              </w:rPr>
            </w:pPr>
            <w:r w:rsidRPr="00312485">
              <w:rPr>
                <w:rFonts w:ascii="Times New Roman" w:hAnsi="Times New Roman"/>
                <w:b/>
                <w:bCs/>
                <w:color w:val="000000"/>
                <w:sz w:val="16"/>
                <w:szCs w:val="16"/>
                <w:lang w:val="ro-MD"/>
              </w:rPr>
              <w:t xml:space="preserve">Soldul </w:t>
            </w:r>
            <w:r w:rsidR="00186C88" w:rsidRPr="00312485">
              <w:rPr>
                <w:rFonts w:ascii="Times New Roman" w:hAnsi="Times New Roman"/>
                <w:b/>
                <w:bCs/>
                <w:color w:val="000000"/>
                <w:sz w:val="16"/>
                <w:szCs w:val="16"/>
                <w:lang w:val="ro-MD"/>
              </w:rPr>
              <w:t>b</w:t>
            </w:r>
            <w:r w:rsidRPr="00312485">
              <w:rPr>
                <w:rFonts w:ascii="Times New Roman" w:hAnsi="Times New Roman"/>
                <w:b/>
                <w:bCs/>
                <w:color w:val="000000"/>
                <w:sz w:val="16"/>
                <w:szCs w:val="16"/>
                <w:lang w:val="ro-MD"/>
              </w:rPr>
              <w:t>ugetar</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008615" w14:textId="1799317E"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-14</w:t>
            </w:r>
            <w:r w:rsidR="00293005" w:rsidRPr="00312485">
              <w:rPr>
                <w:rFonts w:cs="Calibri"/>
                <w:b/>
                <w:bCs/>
                <w:color w:val="000000"/>
                <w:sz w:val="16"/>
                <w:szCs w:val="16"/>
                <w:lang w:val="ro-MD"/>
              </w:rPr>
              <w:t xml:space="preserve"> </w:t>
            </w:r>
            <w:r w:rsidRPr="00312485">
              <w:rPr>
                <w:rFonts w:cs="Calibri"/>
                <w:b/>
                <w:bCs/>
                <w:color w:val="000000"/>
                <w:sz w:val="16"/>
                <w:szCs w:val="16"/>
                <w:lang w:val="ro-MD"/>
              </w:rPr>
              <w:t>094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4824B795" w14:textId="5E9BE973" w:rsidR="00C82678" w:rsidRPr="00312485" w:rsidRDefault="00C82678" w:rsidP="00293005">
            <w:pPr>
              <w:ind w:firstLine="0"/>
              <w:jc w:val="center"/>
              <w:rPr>
                <w:rFonts w:cs="Calibri"/>
                <w:b/>
                <w:bCs/>
                <w:color w:val="000000"/>
                <w:sz w:val="16"/>
                <w:szCs w:val="16"/>
                <w:lang w:val="ro-MD"/>
              </w:rPr>
            </w:pPr>
            <w:r w:rsidRPr="00312485">
              <w:rPr>
                <w:rFonts w:cs="Calibri"/>
                <w:b/>
                <w:bCs/>
                <w:color w:val="000000"/>
                <w:sz w:val="16"/>
                <w:szCs w:val="16"/>
                <w:lang w:val="ro-MD"/>
              </w:rPr>
              <w:t>-18</w:t>
            </w:r>
            <w:r w:rsidR="00293005" w:rsidRPr="00312485">
              <w:rPr>
                <w:rFonts w:cs="Calibri"/>
                <w:b/>
                <w:bCs/>
                <w:color w:val="000000"/>
                <w:sz w:val="16"/>
                <w:szCs w:val="16"/>
                <w:lang w:val="ro-MD"/>
              </w:rPr>
              <w:t xml:space="preserve"> </w:t>
            </w:r>
            <w:r w:rsidRPr="00312485">
              <w:rPr>
                <w:rFonts w:cs="Calibri"/>
                <w:b/>
                <w:bCs/>
                <w:color w:val="000000"/>
                <w:sz w:val="16"/>
                <w:szCs w:val="16"/>
                <w:lang w:val="ro-MD"/>
              </w:rPr>
              <w:t>106</w:t>
            </w:r>
          </w:p>
        </w:tc>
        <w:tc>
          <w:tcPr>
            <w:tcW w:w="9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A3B4F5" w14:textId="7E6E37C9"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w:t>
            </w:r>
            <w:r w:rsidR="00293005" w:rsidRPr="00312485">
              <w:rPr>
                <w:rFonts w:cs="Calibri"/>
                <w:b/>
                <w:bCs/>
                <w:color w:val="000000"/>
                <w:sz w:val="16"/>
                <w:szCs w:val="16"/>
                <w:lang w:val="ro-MD"/>
              </w:rPr>
              <w:t xml:space="preserve">20 </w:t>
            </w:r>
            <w:r w:rsidRPr="00312485">
              <w:rPr>
                <w:rFonts w:cs="Calibri"/>
                <w:b/>
                <w:bCs/>
                <w:color w:val="000000"/>
                <w:sz w:val="16"/>
                <w:szCs w:val="16"/>
                <w:lang w:val="ro-MD"/>
              </w:rPr>
              <w:t>514</w:t>
            </w:r>
          </w:p>
        </w:tc>
        <w:tc>
          <w:tcPr>
            <w:tcW w:w="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61EF12" w14:textId="7E6C77A1" w:rsidR="00C82678" w:rsidRPr="00312485" w:rsidRDefault="00C82678" w:rsidP="00293005">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-21</w:t>
            </w:r>
            <w:r w:rsidR="00293005" w:rsidRPr="00312485">
              <w:rPr>
                <w:rFonts w:cs="Calibri"/>
                <w:b/>
                <w:bCs/>
                <w:color w:val="000000"/>
                <w:sz w:val="16"/>
                <w:szCs w:val="16"/>
                <w:lang w:val="ro-MD"/>
              </w:rPr>
              <w:t xml:space="preserve"> </w:t>
            </w:r>
            <w:r w:rsidRPr="00312485">
              <w:rPr>
                <w:rFonts w:cs="Calibri"/>
                <w:b/>
                <w:bCs/>
                <w:color w:val="000000"/>
                <w:sz w:val="16"/>
                <w:szCs w:val="16"/>
                <w:lang w:val="ro-MD"/>
              </w:rPr>
              <w:t>934</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1D7E1A" w14:textId="3033E169" w:rsidR="00C82678" w:rsidRPr="00312485" w:rsidRDefault="00C82678" w:rsidP="008B4B32">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-18</w:t>
            </w:r>
            <w:r w:rsidR="008B4B32" w:rsidRPr="00312485">
              <w:rPr>
                <w:rFonts w:cs="Calibri"/>
                <w:b/>
                <w:bCs/>
                <w:color w:val="000000"/>
                <w:sz w:val="16"/>
                <w:szCs w:val="16"/>
                <w:lang w:val="ro-MD"/>
              </w:rPr>
              <w:t xml:space="preserve"> </w:t>
            </w:r>
            <w:r w:rsidRPr="00312485">
              <w:rPr>
                <w:rFonts w:cs="Calibri"/>
                <w:b/>
                <w:bCs/>
                <w:color w:val="000000"/>
                <w:sz w:val="16"/>
                <w:szCs w:val="16"/>
                <w:lang w:val="ro-MD"/>
              </w:rPr>
              <w:t>584</w:t>
            </w:r>
          </w:p>
        </w:tc>
        <w:tc>
          <w:tcPr>
            <w:tcW w:w="847" w:type="dxa"/>
            <w:tcBorders>
              <w:top w:val="single" w:sz="4" w:space="0" w:color="auto"/>
              <w:left w:val="single" w:sz="4" w:space="0" w:color="auto"/>
              <w:bottom w:val="single" w:sz="4" w:space="0" w:color="auto"/>
              <w:right w:val="single" w:sz="4" w:space="0" w:color="auto"/>
            </w:tcBorders>
            <w:vAlign w:val="center"/>
            <w:hideMark/>
          </w:tcPr>
          <w:p w14:paraId="787B68F5"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-4,0%</w:t>
            </w:r>
          </w:p>
        </w:tc>
        <w:tc>
          <w:tcPr>
            <w:tcW w:w="718" w:type="dxa"/>
            <w:tcBorders>
              <w:top w:val="single" w:sz="4" w:space="0" w:color="auto"/>
              <w:left w:val="single" w:sz="4" w:space="0" w:color="auto"/>
              <w:bottom w:val="single" w:sz="4" w:space="0" w:color="auto"/>
              <w:right w:val="single" w:sz="4" w:space="0" w:color="auto"/>
            </w:tcBorders>
            <w:vAlign w:val="center"/>
            <w:hideMark/>
          </w:tcPr>
          <w:p w14:paraId="31768414"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-5,2%</w:t>
            </w:r>
          </w:p>
        </w:tc>
        <w:tc>
          <w:tcPr>
            <w:tcW w:w="851" w:type="dxa"/>
            <w:tcBorders>
              <w:top w:val="single" w:sz="4" w:space="0" w:color="auto"/>
              <w:left w:val="single" w:sz="4" w:space="0" w:color="auto"/>
              <w:bottom w:val="single" w:sz="4" w:space="0" w:color="auto"/>
              <w:right w:val="single" w:sz="4" w:space="0" w:color="auto"/>
            </w:tcBorders>
            <w:vAlign w:val="center"/>
          </w:tcPr>
          <w:p w14:paraId="2AB5BD85" w14:textId="77777777" w:rsidR="00C82678" w:rsidRPr="00312485" w:rsidRDefault="00C82678" w:rsidP="00C82678">
            <w:pPr>
              <w:ind w:firstLine="0"/>
              <w:jc w:val="center"/>
              <w:rPr>
                <w:rFonts w:cs="Calibri"/>
                <w:b/>
                <w:bCs/>
                <w:color w:val="000000"/>
                <w:sz w:val="16"/>
                <w:szCs w:val="16"/>
                <w:lang w:val="ro-MD"/>
              </w:rPr>
            </w:pPr>
            <w:r w:rsidRPr="00312485">
              <w:rPr>
                <w:rFonts w:cs="Calibri"/>
                <w:b/>
                <w:bCs/>
                <w:color w:val="000000"/>
                <w:sz w:val="16"/>
                <w:szCs w:val="16"/>
                <w:lang w:val="ro-MD"/>
              </w:rPr>
              <w:t>-5,4%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347162"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-5,3%</w:t>
            </w:r>
          </w:p>
        </w:tc>
        <w:tc>
          <w:tcPr>
            <w:tcW w:w="845" w:type="dxa"/>
            <w:tcBorders>
              <w:top w:val="single" w:sz="4" w:space="0" w:color="auto"/>
              <w:left w:val="single" w:sz="4" w:space="0" w:color="auto"/>
              <w:bottom w:val="single" w:sz="4" w:space="0" w:color="auto"/>
              <w:right w:val="single" w:sz="4" w:space="0" w:color="auto"/>
            </w:tcBorders>
            <w:vAlign w:val="center"/>
            <w:hideMark/>
          </w:tcPr>
          <w:p w14:paraId="0BEE7CD2"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-4,2%</w:t>
            </w:r>
          </w:p>
        </w:tc>
      </w:tr>
      <w:tr w:rsidR="00C82678" w:rsidRPr="00312485" w14:paraId="07DE52AA" w14:textId="77777777" w:rsidTr="00EC483F">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77A1FD" w14:textId="77777777" w:rsidR="00C82678" w:rsidRPr="00312485" w:rsidRDefault="00C82678" w:rsidP="00C82678">
            <w:pPr>
              <w:ind w:firstLine="0"/>
              <w:jc w:val="center"/>
              <w:rPr>
                <w:rFonts w:ascii="Times New Roman" w:hAnsi="Times New Roman"/>
                <w:color w:val="000000"/>
                <w:sz w:val="16"/>
                <w:szCs w:val="16"/>
                <w:lang w:val="ro-MD"/>
              </w:rPr>
            </w:pPr>
            <w:r w:rsidRPr="00312485">
              <w:rPr>
                <w:rFonts w:ascii="Times New Roman" w:hAnsi="Times New Roman"/>
                <w:b/>
                <w:color w:val="000000"/>
                <w:sz w:val="16"/>
                <w:szCs w:val="16"/>
                <w:lang w:val="ro-MD"/>
              </w:rPr>
              <w:t>Finanțat din</w:t>
            </w:r>
            <w:r w:rsidRPr="00312485">
              <w:rPr>
                <w:rFonts w:ascii="Times New Roman" w:hAnsi="Times New Roman"/>
                <w:color w:val="000000"/>
                <w:sz w:val="16"/>
                <w:szCs w:val="16"/>
                <w:lang w:val="ro-MD"/>
              </w:rPr>
              <w:t>:</w:t>
            </w:r>
          </w:p>
        </w:tc>
        <w:tc>
          <w:tcPr>
            <w:tcW w:w="918" w:type="dxa"/>
            <w:tcBorders>
              <w:top w:val="single" w:sz="4" w:space="0" w:color="auto"/>
              <w:left w:val="single" w:sz="4" w:space="0" w:color="auto"/>
              <w:bottom w:val="single" w:sz="4" w:space="0" w:color="auto"/>
              <w:right w:val="single" w:sz="4" w:space="0" w:color="auto"/>
            </w:tcBorders>
            <w:vAlign w:val="bottom"/>
          </w:tcPr>
          <w:p w14:paraId="5A8E4E76"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 </w:t>
            </w:r>
          </w:p>
        </w:tc>
        <w:tc>
          <w:tcPr>
            <w:tcW w:w="883" w:type="dxa"/>
            <w:tcBorders>
              <w:top w:val="single" w:sz="4" w:space="0" w:color="auto"/>
              <w:left w:val="single" w:sz="4" w:space="0" w:color="auto"/>
              <w:bottom w:val="single" w:sz="4" w:space="0" w:color="auto"/>
              <w:right w:val="single" w:sz="4" w:space="0" w:color="auto"/>
            </w:tcBorders>
            <w:vAlign w:val="center"/>
          </w:tcPr>
          <w:p w14:paraId="2064DFE8" w14:textId="77777777" w:rsidR="00C82678" w:rsidRPr="00312485" w:rsidRDefault="00C82678" w:rsidP="00C82678">
            <w:pPr>
              <w:jc w:val="center"/>
              <w:rPr>
                <w:rFonts w:cs="Calibri"/>
                <w:b/>
                <w:bCs/>
                <w:color w:val="000000"/>
                <w:sz w:val="16"/>
                <w:szCs w:val="16"/>
                <w:lang w:val="ro-MD"/>
              </w:rPr>
            </w:pPr>
          </w:p>
        </w:tc>
        <w:tc>
          <w:tcPr>
            <w:tcW w:w="919" w:type="dxa"/>
            <w:tcBorders>
              <w:top w:val="single" w:sz="4" w:space="0" w:color="auto"/>
              <w:left w:val="single" w:sz="4" w:space="0" w:color="auto"/>
              <w:bottom w:val="single" w:sz="4" w:space="0" w:color="auto"/>
              <w:right w:val="single" w:sz="4" w:space="0" w:color="auto"/>
            </w:tcBorders>
            <w:vAlign w:val="bottom"/>
          </w:tcPr>
          <w:p w14:paraId="58EE955B"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 </w:t>
            </w:r>
          </w:p>
        </w:tc>
        <w:tc>
          <w:tcPr>
            <w:tcW w:w="928" w:type="dxa"/>
            <w:tcBorders>
              <w:top w:val="single" w:sz="4" w:space="0" w:color="auto"/>
              <w:left w:val="single" w:sz="4" w:space="0" w:color="auto"/>
              <w:bottom w:val="single" w:sz="4" w:space="0" w:color="auto"/>
              <w:right w:val="single" w:sz="4" w:space="0" w:color="auto"/>
            </w:tcBorders>
            <w:vAlign w:val="bottom"/>
          </w:tcPr>
          <w:p w14:paraId="53E4A83D"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 </w:t>
            </w:r>
          </w:p>
        </w:tc>
        <w:tc>
          <w:tcPr>
            <w:tcW w:w="888" w:type="dxa"/>
            <w:tcBorders>
              <w:top w:val="single" w:sz="4" w:space="0" w:color="auto"/>
              <w:left w:val="single" w:sz="4" w:space="0" w:color="auto"/>
              <w:bottom w:val="single" w:sz="4" w:space="0" w:color="auto"/>
              <w:right w:val="single" w:sz="4" w:space="0" w:color="auto"/>
            </w:tcBorders>
            <w:vAlign w:val="bottom"/>
          </w:tcPr>
          <w:p w14:paraId="06170062"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color w:val="000000"/>
                <w:sz w:val="16"/>
                <w:szCs w:val="16"/>
                <w:lang w:val="ro-MD"/>
              </w:rPr>
              <w:t> </w:t>
            </w:r>
          </w:p>
        </w:tc>
        <w:tc>
          <w:tcPr>
            <w:tcW w:w="847" w:type="dxa"/>
            <w:tcBorders>
              <w:top w:val="single" w:sz="4" w:space="0" w:color="auto"/>
              <w:left w:val="single" w:sz="4" w:space="0" w:color="auto"/>
              <w:bottom w:val="single" w:sz="4" w:space="0" w:color="auto"/>
              <w:right w:val="single" w:sz="4" w:space="0" w:color="auto"/>
            </w:tcBorders>
            <w:vAlign w:val="center"/>
          </w:tcPr>
          <w:p w14:paraId="3B76695F"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 </w:t>
            </w:r>
          </w:p>
        </w:tc>
        <w:tc>
          <w:tcPr>
            <w:tcW w:w="718" w:type="dxa"/>
            <w:tcBorders>
              <w:top w:val="single" w:sz="4" w:space="0" w:color="auto"/>
              <w:left w:val="single" w:sz="4" w:space="0" w:color="auto"/>
              <w:bottom w:val="single" w:sz="4" w:space="0" w:color="auto"/>
              <w:right w:val="single" w:sz="4" w:space="0" w:color="auto"/>
            </w:tcBorders>
            <w:vAlign w:val="center"/>
          </w:tcPr>
          <w:p w14:paraId="48B53D13"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 </w:t>
            </w:r>
          </w:p>
        </w:tc>
        <w:tc>
          <w:tcPr>
            <w:tcW w:w="851" w:type="dxa"/>
            <w:tcBorders>
              <w:top w:val="single" w:sz="4" w:space="0" w:color="auto"/>
              <w:left w:val="single" w:sz="4" w:space="0" w:color="auto"/>
              <w:bottom w:val="single" w:sz="4" w:space="0" w:color="auto"/>
              <w:right w:val="single" w:sz="4" w:space="0" w:color="auto"/>
            </w:tcBorders>
            <w:vAlign w:val="center"/>
          </w:tcPr>
          <w:p w14:paraId="6BF4DA64" w14:textId="77777777" w:rsidR="00C82678" w:rsidRPr="00312485" w:rsidRDefault="00C82678" w:rsidP="00C82678">
            <w:pPr>
              <w:jc w:val="center"/>
              <w:rPr>
                <w:rFonts w:cs="Calibri"/>
                <w:bCs/>
                <w:color w:val="000000"/>
                <w:sz w:val="16"/>
                <w:szCs w:val="16"/>
                <w:lang w:val="ro-MD"/>
              </w:rPr>
            </w:pPr>
          </w:p>
        </w:tc>
        <w:tc>
          <w:tcPr>
            <w:tcW w:w="850" w:type="dxa"/>
            <w:tcBorders>
              <w:top w:val="single" w:sz="4" w:space="0" w:color="auto"/>
              <w:left w:val="single" w:sz="4" w:space="0" w:color="auto"/>
              <w:bottom w:val="single" w:sz="4" w:space="0" w:color="auto"/>
              <w:right w:val="single" w:sz="4" w:space="0" w:color="auto"/>
            </w:tcBorders>
            <w:vAlign w:val="center"/>
          </w:tcPr>
          <w:p w14:paraId="2B6B1C06"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 </w:t>
            </w:r>
          </w:p>
        </w:tc>
        <w:tc>
          <w:tcPr>
            <w:tcW w:w="845" w:type="dxa"/>
            <w:tcBorders>
              <w:top w:val="single" w:sz="4" w:space="0" w:color="auto"/>
              <w:left w:val="single" w:sz="4" w:space="0" w:color="auto"/>
              <w:bottom w:val="single" w:sz="4" w:space="0" w:color="auto"/>
              <w:right w:val="single" w:sz="4" w:space="0" w:color="auto"/>
            </w:tcBorders>
            <w:vAlign w:val="center"/>
          </w:tcPr>
          <w:p w14:paraId="471EE905" w14:textId="77777777" w:rsidR="00C82678" w:rsidRPr="00312485" w:rsidRDefault="00C82678" w:rsidP="00C82678">
            <w:pPr>
              <w:ind w:firstLine="0"/>
              <w:jc w:val="center"/>
              <w:rPr>
                <w:rFonts w:ascii="Times New Roman" w:hAnsi="Times New Roman"/>
                <w:bCs/>
                <w:color w:val="000000"/>
                <w:sz w:val="16"/>
                <w:szCs w:val="16"/>
                <w:lang w:val="ro-MD"/>
              </w:rPr>
            </w:pPr>
            <w:r w:rsidRPr="00312485">
              <w:rPr>
                <w:rFonts w:cs="Calibri"/>
                <w:b/>
                <w:bCs/>
                <w:color w:val="000000"/>
                <w:sz w:val="16"/>
                <w:szCs w:val="16"/>
                <w:lang w:val="ro-MD"/>
              </w:rPr>
              <w:t> </w:t>
            </w:r>
          </w:p>
        </w:tc>
      </w:tr>
      <w:tr w:rsidR="00A760FF" w:rsidRPr="00312485" w14:paraId="2BEB6D1B" w14:textId="77777777" w:rsidTr="00EC483F">
        <w:trPr>
          <w:trHeight w:val="422"/>
        </w:trPr>
        <w:tc>
          <w:tcPr>
            <w:tcW w:w="1129" w:type="dxa"/>
            <w:tcBorders>
              <w:top w:val="single" w:sz="4" w:space="0" w:color="auto"/>
              <w:left w:val="single" w:sz="4" w:space="0" w:color="auto"/>
              <w:bottom w:val="single" w:sz="4" w:space="0" w:color="auto"/>
              <w:right w:val="single" w:sz="4" w:space="0" w:color="auto"/>
            </w:tcBorders>
            <w:vAlign w:val="center"/>
            <w:hideMark/>
          </w:tcPr>
          <w:p w14:paraId="7716022C" w14:textId="78B348B4" w:rsidR="00A760FF" w:rsidRPr="00312485" w:rsidRDefault="00A760FF" w:rsidP="00A760FF">
            <w:pPr>
              <w:ind w:firstLine="0"/>
              <w:rPr>
                <w:rFonts w:ascii="Times New Roman" w:hAnsi="Times New Roman"/>
                <w:i/>
                <w:color w:val="000000"/>
                <w:sz w:val="16"/>
                <w:szCs w:val="16"/>
                <w:lang w:val="ro-MD"/>
              </w:rPr>
            </w:pPr>
            <w:r w:rsidRPr="00312485">
              <w:rPr>
                <w:rFonts w:ascii="Times New Roman" w:hAnsi="Times New Roman"/>
                <w:i/>
                <w:color w:val="000000"/>
                <w:sz w:val="16"/>
                <w:szCs w:val="16"/>
                <w:lang w:val="ro-MD"/>
              </w:rPr>
              <w:t>-împrumuturi externe</w:t>
            </w:r>
          </w:p>
        </w:tc>
        <w:tc>
          <w:tcPr>
            <w:tcW w:w="918" w:type="dxa"/>
            <w:tcBorders>
              <w:top w:val="single" w:sz="4" w:space="0" w:color="auto"/>
              <w:left w:val="single" w:sz="4" w:space="0" w:color="auto"/>
              <w:bottom w:val="single" w:sz="4" w:space="0" w:color="auto"/>
              <w:right w:val="single" w:sz="4" w:space="0" w:color="auto"/>
            </w:tcBorders>
            <w:vAlign w:val="center"/>
            <w:hideMark/>
          </w:tcPr>
          <w:p w14:paraId="225E3797" w14:textId="77777777"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888</w:t>
            </w:r>
          </w:p>
        </w:tc>
        <w:tc>
          <w:tcPr>
            <w:tcW w:w="883" w:type="dxa"/>
            <w:tcBorders>
              <w:top w:val="single" w:sz="4" w:space="0" w:color="auto"/>
              <w:left w:val="single" w:sz="4" w:space="0" w:color="auto"/>
              <w:bottom w:val="single" w:sz="4" w:space="0" w:color="auto"/>
              <w:right w:val="single" w:sz="4" w:space="0" w:color="auto"/>
            </w:tcBorders>
            <w:vAlign w:val="center"/>
          </w:tcPr>
          <w:p w14:paraId="13875B06" w14:textId="22A8224B" w:rsidR="00A760FF" w:rsidRPr="00312485" w:rsidRDefault="00994D1B" w:rsidP="00A760FF">
            <w:pPr>
              <w:ind w:firstLine="0"/>
              <w:jc w:val="center"/>
              <w:rPr>
                <w:rFonts w:cs="Calibri"/>
                <w:i/>
                <w:color w:val="000000"/>
                <w:sz w:val="16"/>
                <w:szCs w:val="16"/>
                <w:lang w:val="ro-MD"/>
              </w:rPr>
            </w:pPr>
            <w:r w:rsidRPr="00312485">
              <w:rPr>
                <w:rFonts w:cs="Calibri"/>
                <w:i/>
                <w:color w:val="000000"/>
                <w:sz w:val="16"/>
                <w:szCs w:val="16"/>
                <w:lang w:val="ro-MD"/>
              </w:rPr>
              <w:t xml:space="preserve">7 </w:t>
            </w:r>
            <w:r w:rsidR="00A760FF" w:rsidRPr="00312485">
              <w:rPr>
                <w:rFonts w:cs="Calibri"/>
                <w:i/>
                <w:color w:val="000000"/>
                <w:sz w:val="16"/>
                <w:szCs w:val="16"/>
                <w:lang w:val="ro-MD"/>
              </w:rPr>
              <w:t>283</w:t>
            </w:r>
          </w:p>
        </w:tc>
        <w:tc>
          <w:tcPr>
            <w:tcW w:w="919" w:type="dxa"/>
            <w:tcBorders>
              <w:top w:val="single" w:sz="4" w:space="0" w:color="auto"/>
              <w:left w:val="single" w:sz="4" w:space="0" w:color="auto"/>
              <w:bottom w:val="single" w:sz="4" w:space="0" w:color="auto"/>
              <w:right w:val="single" w:sz="4" w:space="0" w:color="auto"/>
            </w:tcBorders>
            <w:vAlign w:val="center"/>
            <w:hideMark/>
          </w:tcPr>
          <w:p w14:paraId="4ABBAD60" w14:textId="7EF03644" w:rsidR="00A760FF" w:rsidRPr="00312485" w:rsidRDefault="00A760FF" w:rsidP="00994D1B">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10</w:t>
            </w:r>
            <w:r w:rsidR="00994D1B" w:rsidRPr="00312485">
              <w:rPr>
                <w:rFonts w:cs="Calibri"/>
                <w:i/>
                <w:color w:val="000000"/>
                <w:sz w:val="16"/>
                <w:szCs w:val="16"/>
                <w:lang w:val="ro-MD"/>
              </w:rPr>
              <w:t xml:space="preserve"> </w:t>
            </w:r>
            <w:r w:rsidRPr="00312485">
              <w:rPr>
                <w:rFonts w:cs="Calibri"/>
                <w:i/>
                <w:color w:val="000000"/>
                <w:sz w:val="16"/>
                <w:szCs w:val="16"/>
                <w:lang w:val="ro-MD"/>
              </w:rPr>
              <w:t>354</w:t>
            </w:r>
          </w:p>
        </w:tc>
        <w:tc>
          <w:tcPr>
            <w:tcW w:w="928" w:type="dxa"/>
            <w:tcBorders>
              <w:top w:val="single" w:sz="4" w:space="0" w:color="auto"/>
              <w:left w:val="single" w:sz="4" w:space="0" w:color="auto"/>
              <w:bottom w:val="single" w:sz="4" w:space="0" w:color="auto"/>
              <w:right w:val="single" w:sz="4" w:space="0" w:color="auto"/>
            </w:tcBorders>
            <w:vAlign w:val="center"/>
            <w:hideMark/>
          </w:tcPr>
          <w:p w14:paraId="1CF71E8F" w14:textId="3112FB8C" w:rsidR="00A760FF" w:rsidRPr="00312485" w:rsidRDefault="00A760FF" w:rsidP="00994D1B">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13</w:t>
            </w:r>
            <w:r w:rsidR="00994D1B" w:rsidRPr="00312485">
              <w:rPr>
                <w:rFonts w:cs="Calibri"/>
                <w:i/>
                <w:color w:val="000000"/>
                <w:sz w:val="16"/>
                <w:szCs w:val="16"/>
                <w:lang w:val="ro-MD"/>
              </w:rPr>
              <w:t xml:space="preserve"> </w:t>
            </w:r>
            <w:r w:rsidRPr="00312485">
              <w:rPr>
                <w:rFonts w:cs="Calibri"/>
                <w:i/>
                <w:color w:val="000000"/>
                <w:sz w:val="16"/>
                <w:szCs w:val="16"/>
                <w:lang w:val="ro-MD"/>
              </w:rPr>
              <w:t>335</w:t>
            </w:r>
          </w:p>
        </w:tc>
        <w:tc>
          <w:tcPr>
            <w:tcW w:w="888" w:type="dxa"/>
            <w:tcBorders>
              <w:top w:val="single" w:sz="4" w:space="0" w:color="auto"/>
              <w:left w:val="single" w:sz="4" w:space="0" w:color="auto"/>
              <w:bottom w:val="single" w:sz="4" w:space="0" w:color="auto"/>
              <w:right w:val="single" w:sz="4" w:space="0" w:color="auto"/>
            </w:tcBorders>
            <w:vAlign w:val="center"/>
            <w:hideMark/>
          </w:tcPr>
          <w:p w14:paraId="4F5C0FE4" w14:textId="583314D4" w:rsidR="00A760FF" w:rsidRPr="00312485" w:rsidRDefault="00A760FF" w:rsidP="00994D1B">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9</w:t>
            </w:r>
            <w:r w:rsidR="00994D1B" w:rsidRPr="00312485">
              <w:rPr>
                <w:rFonts w:cs="Calibri"/>
                <w:i/>
                <w:color w:val="000000"/>
                <w:sz w:val="16"/>
                <w:szCs w:val="16"/>
                <w:lang w:val="ro-MD"/>
              </w:rPr>
              <w:t xml:space="preserve"> </w:t>
            </w:r>
            <w:r w:rsidRPr="00312485">
              <w:rPr>
                <w:rFonts w:cs="Calibri"/>
                <w:i/>
                <w:color w:val="000000"/>
                <w:sz w:val="16"/>
                <w:szCs w:val="16"/>
                <w:lang w:val="ro-MD"/>
              </w:rPr>
              <w:t>882</w:t>
            </w:r>
          </w:p>
        </w:tc>
        <w:tc>
          <w:tcPr>
            <w:tcW w:w="847" w:type="dxa"/>
            <w:tcBorders>
              <w:top w:val="single" w:sz="4" w:space="0" w:color="auto"/>
              <w:left w:val="single" w:sz="4" w:space="0" w:color="auto"/>
              <w:bottom w:val="single" w:sz="4" w:space="0" w:color="auto"/>
              <w:right w:val="single" w:sz="4" w:space="0" w:color="auto"/>
            </w:tcBorders>
            <w:vAlign w:val="center"/>
            <w:hideMark/>
          </w:tcPr>
          <w:p w14:paraId="19DA83A9" w14:textId="52BEB7CF"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0,3%</w:t>
            </w:r>
          </w:p>
        </w:tc>
        <w:tc>
          <w:tcPr>
            <w:tcW w:w="718" w:type="dxa"/>
            <w:tcBorders>
              <w:top w:val="single" w:sz="4" w:space="0" w:color="auto"/>
              <w:left w:val="single" w:sz="4" w:space="0" w:color="auto"/>
              <w:bottom w:val="single" w:sz="4" w:space="0" w:color="auto"/>
              <w:right w:val="single" w:sz="4" w:space="0" w:color="auto"/>
            </w:tcBorders>
            <w:vAlign w:val="center"/>
            <w:hideMark/>
          </w:tcPr>
          <w:p w14:paraId="6EF99819" w14:textId="4B94DBEF"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2,1%</w:t>
            </w:r>
          </w:p>
        </w:tc>
        <w:tc>
          <w:tcPr>
            <w:tcW w:w="851" w:type="dxa"/>
            <w:tcBorders>
              <w:top w:val="single" w:sz="4" w:space="0" w:color="auto"/>
              <w:left w:val="single" w:sz="4" w:space="0" w:color="auto"/>
              <w:bottom w:val="single" w:sz="4" w:space="0" w:color="auto"/>
              <w:right w:val="single" w:sz="4" w:space="0" w:color="auto"/>
            </w:tcBorders>
            <w:vAlign w:val="center"/>
          </w:tcPr>
          <w:p w14:paraId="784CEFA3" w14:textId="56DB8939" w:rsidR="00A760FF" w:rsidRPr="00312485" w:rsidRDefault="00A760FF" w:rsidP="00A760FF">
            <w:pPr>
              <w:ind w:firstLine="0"/>
              <w:jc w:val="center"/>
              <w:rPr>
                <w:rFonts w:cs="Calibri"/>
                <w:i/>
                <w:color w:val="000000"/>
                <w:sz w:val="16"/>
                <w:szCs w:val="16"/>
                <w:lang w:val="ro-MD"/>
              </w:rPr>
            </w:pPr>
            <w:r w:rsidRPr="00312485">
              <w:rPr>
                <w:rFonts w:cs="Calibri"/>
                <w:bCs/>
                <w:i/>
                <w:color w:val="000000"/>
                <w:sz w:val="16"/>
                <w:szCs w:val="16"/>
                <w:lang w:val="ro-MD"/>
              </w:rPr>
              <w:t>2,7%</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924A75" w14:textId="1DF1DE22"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3,2%</w:t>
            </w:r>
          </w:p>
        </w:tc>
        <w:tc>
          <w:tcPr>
            <w:tcW w:w="845" w:type="dxa"/>
            <w:tcBorders>
              <w:top w:val="single" w:sz="4" w:space="0" w:color="auto"/>
              <w:left w:val="single" w:sz="4" w:space="0" w:color="auto"/>
              <w:bottom w:val="single" w:sz="4" w:space="0" w:color="auto"/>
              <w:right w:val="single" w:sz="4" w:space="0" w:color="auto"/>
            </w:tcBorders>
            <w:vAlign w:val="center"/>
            <w:hideMark/>
          </w:tcPr>
          <w:p w14:paraId="193F494A" w14:textId="4F9A69C0"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2,2%</w:t>
            </w:r>
          </w:p>
        </w:tc>
      </w:tr>
      <w:tr w:rsidR="00A760FF" w:rsidRPr="00312485" w14:paraId="67BA65AF" w14:textId="77777777" w:rsidTr="00992A58">
        <w:tc>
          <w:tcPr>
            <w:tcW w:w="1129" w:type="dxa"/>
            <w:tcBorders>
              <w:top w:val="single" w:sz="4" w:space="0" w:color="auto"/>
              <w:left w:val="single" w:sz="4" w:space="0" w:color="auto"/>
              <w:bottom w:val="single" w:sz="4" w:space="0" w:color="auto"/>
              <w:right w:val="single" w:sz="4" w:space="0" w:color="auto"/>
            </w:tcBorders>
            <w:vAlign w:val="center"/>
            <w:hideMark/>
          </w:tcPr>
          <w:p w14:paraId="01C57AC1" w14:textId="387DF13E" w:rsidR="00A760FF" w:rsidRPr="00312485" w:rsidRDefault="00A760FF" w:rsidP="00A760FF">
            <w:pPr>
              <w:ind w:firstLine="31"/>
              <w:rPr>
                <w:rFonts w:ascii="Times New Roman" w:hAnsi="Times New Roman"/>
                <w:i/>
                <w:color w:val="000000"/>
                <w:sz w:val="16"/>
                <w:szCs w:val="16"/>
                <w:lang w:val="ro-MD"/>
              </w:rPr>
            </w:pPr>
            <w:r w:rsidRPr="00312485">
              <w:rPr>
                <w:rFonts w:ascii="Times New Roman" w:hAnsi="Times New Roman"/>
                <w:i/>
                <w:color w:val="000000"/>
                <w:sz w:val="16"/>
                <w:szCs w:val="16"/>
                <w:lang w:val="ro-MD"/>
              </w:rPr>
              <w:t>-împrumuturi interne</w:t>
            </w:r>
          </w:p>
        </w:tc>
        <w:tc>
          <w:tcPr>
            <w:tcW w:w="918" w:type="dxa"/>
            <w:tcBorders>
              <w:top w:val="single" w:sz="4" w:space="0" w:color="auto"/>
              <w:left w:val="single" w:sz="4" w:space="0" w:color="auto"/>
              <w:bottom w:val="single" w:sz="4" w:space="0" w:color="auto"/>
              <w:right w:val="single" w:sz="4" w:space="0" w:color="auto"/>
            </w:tcBorders>
            <w:vAlign w:val="center"/>
            <w:hideMark/>
          </w:tcPr>
          <w:p w14:paraId="1002FEB4" w14:textId="375C0AE6"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7 893</w:t>
            </w:r>
          </w:p>
        </w:tc>
        <w:tc>
          <w:tcPr>
            <w:tcW w:w="883" w:type="dxa"/>
            <w:tcBorders>
              <w:top w:val="single" w:sz="4" w:space="0" w:color="auto"/>
              <w:left w:val="single" w:sz="4" w:space="0" w:color="auto"/>
              <w:bottom w:val="single" w:sz="4" w:space="0" w:color="auto"/>
              <w:right w:val="single" w:sz="4" w:space="0" w:color="auto"/>
            </w:tcBorders>
            <w:vAlign w:val="center"/>
          </w:tcPr>
          <w:p w14:paraId="5DF208E5" w14:textId="619BB104" w:rsidR="00A760FF" w:rsidRPr="00312485" w:rsidRDefault="00A760FF" w:rsidP="00A760FF">
            <w:pPr>
              <w:ind w:firstLine="0"/>
              <w:jc w:val="center"/>
              <w:rPr>
                <w:rFonts w:cs="Calibri"/>
                <w:i/>
                <w:color w:val="000000"/>
                <w:sz w:val="16"/>
                <w:szCs w:val="16"/>
                <w:lang w:val="ro-MD"/>
              </w:rPr>
            </w:pPr>
            <w:r w:rsidRPr="00312485">
              <w:rPr>
                <w:rFonts w:cs="Calibri"/>
                <w:i/>
                <w:color w:val="000000"/>
                <w:sz w:val="16"/>
                <w:szCs w:val="16"/>
                <w:lang w:val="ro-MD"/>
              </w:rPr>
              <w:t>6</w:t>
            </w:r>
            <w:r w:rsidR="00994D1B" w:rsidRPr="00312485">
              <w:rPr>
                <w:rFonts w:cs="Calibri"/>
                <w:i/>
                <w:color w:val="000000"/>
                <w:sz w:val="16"/>
                <w:szCs w:val="16"/>
                <w:lang w:val="ro-MD"/>
              </w:rPr>
              <w:t xml:space="preserve"> </w:t>
            </w:r>
            <w:r w:rsidRPr="00312485">
              <w:rPr>
                <w:rFonts w:cs="Calibri"/>
                <w:i/>
                <w:color w:val="000000"/>
                <w:sz w:val="16"/>
                <w:szCs w:val="16"/>
                <w:lang w:val="ro-MD"/>
              </w:rPr>
              <w:t>757</w:t>
            </w:r>
          </w:p>
        </w:tc>
        <w:tc>
          <w:tcPr>
            <w:tcW w:w="919" w:type="dxa"/>
            <w:tcBorders>
              <w:top w:val="single" w:sz="4" w:space="0" w:color="auto"/>
              <w:left w:val="single" w:sz="4" w:space="0" w:color="auto"/>
              <w:bottom w:val="single" w:sz="4" w:space="0" w:color="auto"/>
              <w:right w:val="single" w:sz="4" w:space="0" w:color="auto"/>
            </w:tcBorders>
            <w:vAlign w:val="center"/>
            <w:hideMark/>
          </w:tcPr>
          <w:p w14:paraId="294C314E" w14:textId="3BFD46BB"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8</w:t>
            </w:r>
            <w:r w:rsidR="00994D1B" w:rsidRPr="00312485">
              <w:rPr>
                <w:rFonts w:cs="Calibri"/>
                <w:i/>
                <w:color w:val="000000"/>
                <w:sz w:val="16"/>
                <w:szCs w:val="16"/>
                <w:lang w:val="ro-MD"/>
              </w:rPr>
              <w:t xml:space="preserve"> </w:t>
            </w:r>
            <w:r w:rsidRPr="00312485">
              <w:rPr>
                <w:rFonts w:cs="Calibri"/>
                <w:i/>
                <w:color w:val="000000"/>
                <w:sz w:val="16"/>
                <w:szCs w:val="16"/>
                <w:lang w:val="ro-MD"/>
              </w:rPr>
              <w:t>117</w:t>
            </w:r>
          </w:p>
        </w:tc>
        <w:tc>
          <w:tcPr>
            <w:tcW w:w="928" w:type="dxa"/>
            <w:tcBorders>
              <w:top w:val="single" w:sz="4" w:space="0" w:color="auto"/>
              <w:left w:val="single" w:sz="4" w:space="0" w:color="auto"/>
              <w:bottom w:val="single" w:sz="4" w:space="0" w:color="auto"/>
              <w:right w:val="single" w:sz="4" w:space="0" w:color="auto"/>
            </w:tcBorders>
            <w:vAlign w:val="center"/>
            <w:hideMark/>
          </w:tcPr>
          <w:p w14:paraId="6B0C3754" w14:textId="291B6F1E"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8</w:t>
            </w:r>
            <w:r w:rsidR="00994D1B" w:rsidRPr="00312485">
              <w:rPr>
                <w:rFonts w:cs="Calibri"/>
                <w:i/>
                <w:color w:val="000000"/>
                <w:sz w:val="16"/>
                <w:szCs w:val="16"/>
                <w:lang w:val="ro-MD"/>
              </w:rPr>
              <w:t xml:space="preserve"> </w:t>
            </w:r>
            <w:r w:rsidRPr="00312485">
              <w:rPr>
                <w:rFonts w:cs="Calibri"/>
                <w:i/>
                <w:color w:val="000000"/>
                <w:sz w:val="16"/>
                <w:szCs w:val="16"/>
                <w:lang w:val="ro-MD"/>
              </w:rPr>
              <w:t>618</w:t>
            </w:r>
          </w:p>
        </w:tc>
        <w:tc>
          <w:tcPr>
            <w:tcW w:w="888" w:type="dxa"/>
            <w:tcBorders>
              <w:top w:val="single" w:sz="4" w:space="0" w:color="auto"/>
              <w:left w:val="single" w:sz="4" w:space="0" w:color="auto"/>
              <w:bottom w:val="single" w:sz="4" w:space="0" w:color="auto"/>
              <w:right w:val="single" w:sz="4" w:space="0" w:color="auto"/>
            </w:tcBorders>
            <w:vAlign w:val="center"/>
            <w:hideMark/>
          </w:tcPr>
          <w:p w14:paraId="4EB381FC" w14:textId="2E398AF4"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i/>
                <w:color w:val="000000"/>
                <w:sz w:val="16"/>
                <w:szCs w:val="16"/>
                <w:lang w:val="ro-MD"/>
              </w:rPr>
              <w:t>7</w:t>
            </w:r>
            <w:r w:rsidR="00994D1B" w:rsidRPr="00312485">
              <w:rPr>
                <w:rFonts w:cs="Calibri"/>
                <w:i/>
                <w:color w:val="000000"/>
                <w:sz w:val="16"/>
                <w:szCs w:val="16"/>
                <w:lang w:val="ro-MD"/>
              </w:rPr>
              <w:t xml:space="preserve"> </w:t>
            </w:r>
            <w:r w:rsidRPr="00312485">
              <w:rPr>
                <w:rFonts w:cs="Calibri"/>
                <w:i/>
                <w:color w:val="000000"/>
                <w:sz w:val="16"/>
                <w:szCs w:val="16"/>
                <w:lang w:val="ro-MD"/>
              </w:rPr>
              <w:t>845</w:t>
            </w:r>
          </w:p>
        </w:tc>
        <w:tc>
          <w:tcPr>
            <w:tcW w:w="847" w:type="dxa"/>
            <w:tcBorders>
              <w:top w:val="single" w:sz="4" w:space="0" w:color="auto"/>
              <w:left w:val="single" w:sz="4" w:space="0" w:color="auto"/>
              <w:bottom w:val="single" w:sz="4" w:space="0" w:color="auto"/>
              <w:right w:val="single" w:sz="4" w:space="0" w:color="auto"/>
            </w:tcBorders>
            <w:vAlign w:val="center"/>
            <w:hideMark/>
          </w:tcPr>
          <w:p w14:paraId="578E6CBF" w14:textId="59511430"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2,3%</w:t>
            </w:r>
          </w:p>
        </w:tc>
        <w:tc>
          <w:tcPr>
            <w:tcW w:w="718" w:type="dxa"/>
            <w:tcBorders>
              <w:top w:val="single" w:sz="4" w:space="0" w:color="auto"/>
              <w:left w:val="single" w:sz="4" w:space="0" w:color="auto"/>
              <w:bottom w:val="single" w:sz="4" w:space="0" w:color="auto"/>
              <w:right w:val="single" w:sz="4" w:space="0" w:color="auto"/>
            </w:tcBorders>
            <w:vAlign w:val="center"/>
            <w:hideMark/>
          </w:tcPr>
          <w:p w14:paraId="0DEED12D" w14:textId="54CCD8B0"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1,9%</w:t>
            </w:r>
          </w:p>
        </w:tc>
        <w:tc>
          <w:tcPr>
            <w:tcW w:w="851" w:type="dxa"/>
            <w:tcBorders>
              <w:top w:val="single" w:sz="4" w:space="0" w:color="auto"/>
              <w:left w:val="single" w:sz="4" w:space="0" w:color="auto"/>
              <w:bottom w:val="single" w:sz="4" w:space="0" w:color="auto"/>
              <w:right w:val="single" w:sz="4" w:space="0" w:color="auto"/>
            </w:tcBorders>
            <w:vAlign w:val="center"/>
          </w:tcPr>
          <w:p w14:paraId="1DDB7382" w14:textId="428178B9" w:rsidR="00A760FF" w:rsidRPr="00312485" w:rsidRDefault="00A760FF" w:rsidP="00A760FF">
            <w:pPr>
              <w:ind w:firstLine="0"/>
              <w:jc w:val="center"/>
              <w:rPr>
                <w:rFonts w:cs="Calibri"/>
                <w:i/>
                <w:color w:val="000000"/>
                <w:sz w:val="16"/>
                <w:szCs w:val="16"/>
                <w:lang w:val="ro-MD"/>
              </w:rPr>
            </w:pPr>
            <w:r w:rsidRPr="00312485">
              <w:rPr>
                <w:rFonts w:cs="Calibri"/>
                <w:bCs/>
                <w:i/>
                <w:color w:val="000000"/>
                <w:sz w:val="16"/>
                <w:szCs w:val="16"/>
                <w:lang w:val="ro-MD"/>
              </w:rPr>
              <w:t>2,1%</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EAF2A2" w14:textId="565B6052"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2,1%</w:t>
            </w:r>
          </w:p>
        </w:tc>
        <w:tc>
          <w:tcPr>
            <w:tcW w:w="845" w:type="dxa"/>
            <w:tcBorders>
              <w:top w:val="single" w:sz="4" w:space="0" w:color="auto"/>
              <w:left w:val="single" w:sz="4" w:space="0" w:color="auto"/>
              <w:bottom w:val="single" w:sz="4" w:space="0" w:color="auto"/>
              <w:right w:val="single" w:sz="4" w:space="0" w:color="auto"/>
            </w:tcBorders>
            <w:vAlign w:val="center"/>
            <w:hideMark/>
          </w:tcPr>
          <w:p w14:paraId="7E6AF15D" w14:textId="12E5FFDA" w:rsidR="00A760FF" w:rsidRPr="00312485" w:rsidRDefault="00A760FF" w:rsidP="00A760FF">
            <w:pPr>
              <w:ind w:firstLine="0"/>
              <w:jc w:val="center"/>
              <w:rPr>
                <w:rFonts w:ascii="Times New Roman" w:hAnsi="Times New Roman"/>
                <w:bCs/>
                <w:i/>
                <w:color w:val="000000"/>
                <w:sz w:val="16"/>
                <w:szCs w:val="16"/>
                <w:lang w:val="ro-MD"/>
              </w:rPr>
            </w:pPr>
            <w:r w:rsidRPr="00312485">
              <w:rPr>
                <w:rFonts w:cs="Calibri"/>
                <w:bCs/>
                <w:i/>
                <w:color w:val="000000"/>
                <w:sz w:val="16"/>
                <w:szCs w:val="16"/>
                <w:lang w:val="ro-MD"/>
              </w:rPr>
              <w:t>1,8%</w:t>
            </w:r>
          </w:p>
        </w:tc>
      </w:tr>
      <w:tr w:rsidR="00A760FF" w:rsidRPr="00312485" w14:paraId="56713581" w14:textId="77777777" w:rsidTr="00992A58">
        <w:trPr>
          <w:trHeight w:val="404"/>
        </w:trPr>
        <w:tc>
          <w:tcPr>
            <w:tcW w:w="1129" w:type="dxa"/>
            <w:tcBorders>
              <w:top w:val="single" w:sz="4" w:space="0" w:color="auto"/>
              <w:left w:val="single" w:sz="4" w:space="0" w:color="auto"/>
              <w:bottom w:val="single" w:sz="4" w:space="0" w:color="auto"/>
              <w:right w:val="single" w:sz="4" w:space="0" w:color="auto"/>
            </w:tcBorders>
            <w:vAlign w:val="center"/>
            <w:hideMark/>
          </w:tcPr>
          <w:p w14:paraId="74DBCFCD" w14:textId="35753EFB" w:rsidR="00A760FF" w:rsidRPr="00312485" w:rsidRDefault="00A760FF" w:rsidP="00A760FF">
            <w:pPr>
              <w:ind w:firstLine="0"/>
              <w:jc w:val="left"/>
              <w:rPr>
                <w:rFonts w:ascii="Times New Roman" w:hAnsi="Times New Roman"/>
                <w:b/>
                <w:color w:val="000000"/>
                <w:sz w:val="16"/>
                <w:szCs w:val="16"/>
                <w:lang w:val="ro-MD"/>
              </w:rPr>
            </w:pPr>
            <w:r w:rsidRPr="00312485">
              <w:rPr>
                <w:rFonts w:ascii="Times New Roman" w:hAnsi="Times New Roman"/>
                <w:b/>
                <w:color w:val="000000"/>
                <w:sz w:val="16"/>
                <w:szCs w:val="16"/>
                <w:lang w:val="ro-MD"/>
              </w:rPr>
              <w:t>Alte surse de finanțare</w:t>
            </w:r>
          </w:p>
        </w:tc>
        <w:tc>
          <w:tcPr>
            <w:tcW w:w="918" w:type="dxa"/>
            <w:tcBorders>
              <w:top w:val="single" w:sz="4" w:space="0" w:color="auto"/>
              <w:left w:val="single" w:sz="4" w:space="0" w:color="auto"/>
              <w:bottom w:val="single" w:sz="4" w:space="0" w:color="auto"/>
              <w:right w:val="single" w:sz="4" w:space="0" w:color="auto"/>
            </w:tcBorders>
            <w:vAlign w:val="center"/>
            <w:hideMark/>
          </w:tcPr>
          <w:p w14:paraId="2FBFD486" w14:textId="1C57BEE2" w:rsidR="00A760FF" w:rsidRPr="00312485" w:rsidRDefault="00A760FF" w:rsidP="00A760FF">
            <w:pPr>
              <w:ind w:firstLine="0"/>
              <w:jc w:val="center"/>
              <w:rPr>
                <w:rFonts w:ascii="Times New Roman" w:hAnsi="Times New Roman"/>
                <w:b/>
                <w:color w:val="000000"/>
                <w:sz w:val="16"/>
                <w:szCs w:val="16"/>
                <w:lang w:val="ro-MD"/>
              </w:rPr>
            </w:pPr>
            <w:r w:rsidRPr="00312485">
              <w:rPr>
                <w:rFonts w:ascii="Times New Roman" w:hAnsi="Times New Roman"/>
                <w:b/>
                <w:color w:val="000000"/>
                <w:sz w:val="16"/>
                <w:szCs w:val="16"/>
                <w:lang w:val="ro-MD"/>
              </w:rPr>
              <w:t>5 313</w:t>
            </w:r>
          </w:p>
        </w:tc>
        <w:tc>
          <w:tcPr>
            <w:tcW w:w="883" w:type="dxa"/>
            <w:tcBorders>
              <w:top w:val="single" w:sz="4" w:space="0" w:color="auto"/>
              <w:left w:val="single" w:sz="4" w:space="0" w:color="auto"/>
              <w:bottom w:val="single" w:sz="4" w:space="0" w:color="auto"/>
              <w:right w:val="single" w:sz="4" w:space="0" w:color="auto"/>
            </w:tcBorders>
            <w:vAlign w:val="center"/>
          </w:tcPr>
          <w:p w14:paraId="6D48E5A1" w14:textId="6778F028" w:rsidR="00A760FF" w:rsidRPr="00312485" w:rsidRDefault="00A760FF" w:rsidP="00A760FF">
            <w:pPr>
              <w:ind w:firstLine="0"/>
              <w:jc w:val="center"/>
              <w:rPr>
                <w:rFonts w:cs="Calibri"/>
                <w:b/>
                <w:color w:val="000000"/>
                <w:sz w:val="16"/>
                <w:szCs w:val="16"/>
                <w:lang w:val="ro-MD"/>
              </w:rPr>
            </w:pPr>
            <w:r w:rsidRPr="00312485">
              <w:rPr>
                <w:rFonts w:cs="Calibri"/>
                <w:b/>
                <w:color w:val="000000"/>
                <w:sz w:val="16"/>
                <w:szCs w:val="16"/>
                <w:lang w:val="ro-MD"/>
              </w:rPr>
              <w:t>4</w:t>
            </w:r>
            <w:r w:rsidR="00994D1B" w:rsidRPr="00312485">
              <w:rPr>
                <w:rFonts w:cs="Calibri"/>
                <w:b/>
                <w:color w:val="000000"/>
                <w:sz w:val="16"/>
                <w:szCs w:val="16"/>
                <w:lang w:val="ro-MD"/>
              </w:rPr>
              <w:t xml:space="preserve"> </w:t>
            </w:r>
            <w:r w:rsidRPr="00312485">
              <w:rPr>
                <w:rFonts w:cs="Calibri"/>
                <w:b/>
                <w:color w:val="000000"/>
                <w:sz w:val="16"/>
                <w:szCs w:val="16"/>
                <w:lang w:val="ro-MD"/>
              </w:rPr>
              <w:t>066</w:t>
            </w:r>
          </w:p>
        </w:tc>
        <w:tc>
          <w:tcPr>
            <w:tcW w:w="919" w:type="dxa"/>
            <w:tcBorders>
              <w:top w:val="single" w:sz="4" w:space="0" w:color="auto"/>
              <w:left w:val="single" w:sz="4" w:space="0" w:color="auto"/>
              <w:bottom w:val="single" w:sz="4" w:space="0" w:color="auto"/>
              <w:right w:val="single" w:sz="4" w:space="0" w:color="auto"/>
            </w:tcBorders>
            <w:vAlign w:val="center"/>
            <w:hideMark/>
          </w:tcPr>
          <w:p w14:paraId="209E403C" w14:textId="40482EF5" w:rsidR="00A760FF" w:rsidRPr="00312485" w:rsidRDefault="00A760FF" w:rsidP="00A760FF">
            <w:pPr>
              <w:ind w:firstLine="0"/>
              <w:jc w:val="center"/>
              <w:rPr>
                <w:rFonts w:ascii="Times New Roman" w:hAnsi="Times New Roman"/>
                <w:b/>
                <w:color w:val="000000"/>
                <w:sz w:val="16"/>
                <w:szCs w:val="16"/>
                <w:lang w:val="ro-MD"/>
              </w:rPr>
            </w:pPr>
            <w:r w:rsidRPr="00312485">
              <w:rPr>
                <w:rFonts w:ascii="Times New Roman" w:hAnsi="Times New Roman"/>
                <w:b/>
                <w:color w:val="000000"/>
                <w:sz w:val="16"/>
                <w:szCs w:val="16"/>
                <w:lang w:val="ro-MD"/>
              </w:rPr>
              <w:t>2</w:t>
            </w:r>
            <w:r w:rsidR="00994D1B" w:rsidRPr="00312485">
              <w:rPr>
                <w:rFonts w:ascii="Times New Roman" w:hAnsi="Times New Roman"/>
                <w:b/>
                <w:color w:val="000000"/>
                <w:sz w:val="16"/>
                <w:szCs w:val="16"/>
                <w:lang w:val="ro-MD"/>
              </w:rPr>
              <w:t xml:space="preserve"> </w:t>
            </w:r>
            <w:r w:rsidRPr="00312485">
              <w:rPr>
                <w:rFonts w:ascii="Times New Roman" w:hAnsi="Times New Roman"/>
                <w:b/>
                <w:color w:val="000000"/>
                <w:sz w:val="16"/>
                <w:szCs w:val="16"/>
                <w:lang w:val="ro-MD"/>
              </w:rPr>
              <w:t>043</w:t>
            </w:r>
          </w:p>
        </w:tc>
        <w:tc>
          <w:tcPr>
            <w:tcW w:w="928" w:type="dxa"/>
            <w:tcBorders>
              <w:top w:val="single" w:sz="4" w:space="0" w:color="auto"/>
              <w:left w:val="single" w:sz="4" w:space="0" w:color="auto"/>
              <w:bottom w:val="single" w:sz="4" w:space="0" w:color="auto"/>
              <w:right w:val="single" w:sz="4" w:space="0" w:color="auto"/>
            </w:tcBorders>
            <w:vAlign w:val="center"/>
            <w:hideMark/>
          </w:tcPr>
          <w:p w14:paraId="72130341" w14:textId="535ECB26" w:rsidR="00A760FF" w:rsidRPr="00312485" w:rsidRDefault="00A760FF" w:rsidP="00A760FF">
            <w:pPr>
              <w:ind w:firstLine="0"/>
              <w:jc w:val="center"/>
              <w:rPr>
                <w:rFonts w:ascii="Times New Roman" w:hAnsi="Times New Roman"/>
                <w:b/>
                <w:color w:val="000000"/>
                <w:sz w:val="16"/>
                <w:szCs w:val="16"/>
                <w:lang w:val="ro-MD"/>
              </w:rPr>
            </w:pPr>
            <w:r w:rsidRPr="00312485">
              <w:rPr>
                <w:rFonts w:ascii="Times New Roman" w:hAnsi="Times New Roman"/>
                <w:b/>
                <w:color w:val="000000"/>
                <w:sz w:val="16"/>
                <w:szCs w:val="16"/>
                <w:lang w:val="ro-MD"/>
              </w:rPr>
              <w:t>-19</w:t>
            </w:r>
          </w:p>
        </w:tc>
        <w:tc>
          <w:tcPr>
            <w:tcW w:w="888" w:type="dxa"/>
            <w:tcBorders>
              <w:top w:val="single" w:sz="4" w:space="0" w:color="auto"/>
              <w:left w:val="single" w:sz="4" w:space="0" w:color="auto"/>
              <w:bottom w:val="single" w:sz="4" w:space="0" w:color="auto"/>
              <w:right w:val="single" w:sz="4" w:space="0" w:color="auto"/>
            </w:tcBorders>
            <w:vAlign w:val="center"/>
            <w:hideMark/>
          </w:tcPr>
          <w:p w14:paraId="5E70BD10" w14:textId="1BEC7E48" w:rsidR="00A760FF" w:rsidRPr="00312485" w:rsidRDefault="00A760FF" w:rsidP="00A760FF">
            <w:pPr>
              <w:ind w:firstLine="0"/>
              <w:jc w:val="center"/>
              <w:rPr>
                <w:rFonts w:ascii="Times New Roman" w:hAnsi="Times New Roman"/>
                <w:b/>
                <w:color w:val="000000"/>
                <w:sz w:val="16"/>
                <w:szCs w:val="16"/>
                <w:lang w:val="ro-MD"/>
              </w:rPr>
            </w:pPr>
            <w:r w:rsidRPr="00312485">
              <w:rPr>
                <w:rFonts w:cs="Calibri"/>
                <w:b/>
                <w:color w:val="000000"/>
                <w:sz w:val="16"/>
                <w:szCs w:val="16"/>
                <w:lang w:val="ro-MD"/>
              </w:rPr>
              <w:t> 858</w:t>
            </w:r>
          </w:p>
        </w:tc>
        <w:tc>
          <w:tcPr>
            <w:tcW w:w="847" w:type="dxa"/>
            <w:tcBorders>
              <w:top w:val="single" w:sz="4" w:space="0" w:color="auto"/>
              <w:left w:val="single" w:sz="4" w:space="0" w:color="auto"/>
              <w:bottom w:val="single" w:sz="4" w:space="0" w:color="auto"/>
              <w:right w:val="single" w:sz="4" w:space="0" w:color="auto"/>
            </w:tcBorders>
            <w:vAlign w:val="center"/>
            <w:hideMark/>
          </w:tcPr>
          <w:p w14:paraId="2611F0BF" w14:textId="7ACD4308" w:rsidR="00A760FF" w:rsidRPr="00312485" w:rsidRDefault="00A760FF" w:rsidP="00A760FF">
            <w:pPr>
              <w:ind w:firstLine="0"/>
              <w:jc w:val="center"/>
              <w:rPr>
                <w:rFonts w:ascii="Times New Roman" w:hAnsi="Times New Roman"/>
                <w:color w:val="000000"/>
                <w:sz w:val="16"/>
                <w:szCs w:val="16"/>
                <w:lang w:val="ro-MD"/>
              </w:rPr>
            </w:pPr>
            <w:r w:rsidRPr="00312485">
              <w:rPr>
                <w:rFonts w:cs="Calibri"/>
                <w:b/>
                <w:bCs/>
                <w:color w:val="000000"/>
                <w:sz w:val="16"/>
                <w:szCs w:val="16"/>
                <w:lang w:val="ro-MD"/>
              </w:rPr>
              <w:t>1,5%</w:t>
            </w:r>
          </w:p>
        </w:tc>
        <w:tc>
          <w:tcPr>
            <w:tcW w:w="718" w:type="dxa"/>
            <w:tcBorders>
              <w:top w:val="single" w:sz="4" w:space="0" w:color="auto"/>
              <w:left w:val="single" w:sz="4" w:space="0" w:color="auto"/>
              <w:bottom w:val="single" w:sz="4" w:space="0" w:color="auto"/>
              <w:right w:val="single" w:sz="4" w:space="0" w:color="auto"/>
            </w:tcBorders>
            <w:vAlign w:val="center"/>
            <w:hideMark/>
          </w:tcPr>
          <w:p w14:paraId="194D9260" w14:textId="7D9FE396" w:rsidR="00A760FF" w:rsidRPr="00312485" w:rsidRDefault="00A760FF" w:rsidP="00A760FF">
            <w:pPr>
              <w:ind w:firstLine="0"/>
              <w:jc w:val="center"/>
              <w:rPr>
                <w:rFonts w:ascii="Times New Roman" w:hAnsi="Times New Roman"/>
                <w:color w:val="000000"/>
                <w:sz w:val="16"/>
                <w:szCs w:val="16"/>
                <w:lang w:val="ro-MD"/>
              </w:rPr>
            </w:pPr>
            <w:r w:rsidRPr="00312485">
              <w:rPr>
                <w:rFonts w:cs="Calibri"/>
                <w:b/>
                <w:bCs/>
                <w:color w:val="000000"/>
                <w:sz w:val="16"/>
                <w:szCs w:val="16"/>
                <w:lang w:val="ro-MD"/>
              </w:rPr>
              <w:t>1,2%</w:t>
            </w:r>
          </w:p>
        </w:tc>
        <w:tc>
          <w:tcPr>
            <w:tcW w:w="851" w:type="dxa"/>
            <w:tcBorders>
              <w:top w:val="single" w:sz="4" w:space="0" w:color="auto"/>
              <w:left w:val="single" w:sz="4" w:space="0" w:color="auto"/>
              <w:bottom w:val="single" w:sz="4" w:space="0" w:color="auto"/>
              <w:right w:val="single" w:sz="4" w:space="0" w:color="auto"/>
            </w:tcBorders>
            <w:vAlign w:val="center"/>
          </w:tcPr>
          <w:p w14:paraId="4FF52F30" w14:textId="46A2DBB0" w:rsidR="00A760FF" w:rsidRPr="00312485" w:rsidRDefault="00A760FF" w:rsidP="00A760FF">
            <w:pPr>
              <w:ind w:firstLine="0"/>
              <w:jc w:val="center"/>
              <w:rPr>
                <w:rFonts w:cs="Calibri"/>
                <w:color w:val="000000"/>
                <w:sz w:val="16"/>
                <w:szCs w:val="16"/>
                <w:lang w:val="ro-MD"/>
              </w:rPr>
            </w:pPr>
            <w:r w:rsidRPr="00312485">
              <w:rPr>
                <w:rFonts w:cs="Calibri"/>
                <w:b/>
                <w:bCs/>
                <w:color w:val="000000"/>
                <w:sz w:val="16"/>
                <w:szCs w:val="16"/>
                <w:lang w:val="ro-MD"/>
              </w:rPr>
              <w:t>0,5%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2014C4" w14:textId="3AD73A94" w:rsidR="00A760FF" w:rsidRPr="00312485" w:rsidRDefault="00A760FF" w:rsidP="00A760FF">
            <w:pPr>
              <w:ind w:firstLine="0"/>
              <w:jc w:val="center"/>
              <w:rPr>
                <w:rFonts w:ascii="Times New Roman" w:hAnsi="Times New Roman"/>
                <w:color w:val="000000"/>
                <w:sz w:val="16"/>
                <w:szCs w:val="16"/>
                <w:lang w:val="ro-MD"/>
              </w:rPr>
            </w:pPr>
            <w:r w:rsidRPr="00312485">
              <w:rPr>
                <w:rFonts w:cs="Calibri"/>
                <w:b/>
                <w:bCs/>
                <w:color w:val="000000"/>
                <w:sz w:val="16"/>
                <w:szCs w:val="16"/>
                <w:lang w:val="ro-MD"/>
              </w:rPr>
              <w:t>0,0%</w:t>
            </w:r>
          </w:p>
        </w:tc>
        <w:tc>
          <w:tcPr>
            <w:tcW w:w="845" w:type="dxa"/>
            <w:tcBorders>
              <w:top w:val="single" w:sz="4" w:space="0" w:color="auto"/>
              <w:left w:val="single" w:sz="4" w:space="0" w:color="auto"/>
              <w:bottom w:val="single" w:sz="4" w:space="0" w:color="auto"/>
              <w:right w:val="single" w:sz="4" w:space="0" w:color="auto"/>
            </w:tcBorders>
            <w:vAlign w:val="center"/>
            <w:hideMark/>
          </w:tcPr>
          <w:p w14:paraId="45C94BE4" w14:textId="7A001E6A" w:rsidR="00A760FF" w:rsidRPr="00312485" w:rsidRDefault="00A760FF" w:rsidP="00A760FF">
            <w:pPr>
              <w:ind w:firstLine="0"/>
              <w:jc w:val="center"/>
              <w:rPr>
                <w:rFonts w:ascii="Times New Roman" w:hAnsi="Times New Roman"/>
                <w:color w:val="000000"/>
                <w:sz w:val="16"/>
                <w:szCs w:val="16"/>
                <w:lang w:val="ro-MD"/>
              </w:rPr>
            </w:pPr>
            <w:r w:rsidRPr="00312485">
              <w:rPr>
                <w:rFonts w:cs="Calibri"/>
                <w:b/>
                <w:bCs/>
                <w:color w:val="000000"/>
                <w:sz w:val="16"/>
                <w:szCs w:val="16"/>
                <w:lang w:val="ro-MD"/>
              </w:rPr>
              <w:t>0,2%</w:t>
            </w:r>
          </w:p>
        </w:tc>
      </w:tr>
      <w:tr w:rsidR="00A760FF" w:rsidRPr="00312485" w14:paraId="33275990" w14:textId="77777777" w:rsidTr="00E94097">
        <w:trPr>
          <w:trHeight w:val="164"/>
        </w:trPr>
        <w:tc>
          <w:tcPr>
            <w:tcW w:w="9776" w:type="dxa"/>
            <w:gridSpan w:val="11"/>
            <w:tcBorders>
              <w:top w:val="single" w:sz="4" w:space="0" w:color="auto"/>
              <w:left w:val="nil"/>
              <w:bottom w:val="nil"/>
              <w:right w:val="nil"/>
            </w:tcBorders>
            <w:shd w:val="clear" w:color="auto" w:fill="FFFFFF"/>
          </w:tcPr>
          <w:p w14:paraId="5DDAEF9E" w14:textId="77777777" w:rsidR="00A760FF" w:rsidRPr="00312485" w:rsidRDefault="00A760FF" w:rsidP="00A760FF">
            <w:pPr>
              <w:ind w:firstLine="599"/>
              <w:jc w:val="left"/>
              <w:rPr>
                <w:rFonts w:ascii="Times New Roman" w:hAnsi="Times New Roman"/>
                <w:bCs/>
                <w:color w:val="000000"/>
                <w:sz w:val="16"/>
                <w:szCs w:val="16"/>
                <w:lang w:val="ro-MD"/>
              </w:rPr>
            </w:pPr>
            <w:r w:rsidRPr="00312485">
              <w:rPr>
                <w:rFonts w:ascii="Times New Roman" w:hAnsi="Times New Roman"/>
                <w:i/>
                <w:iCs/>
                <w:color w:val="000000"/>
                <w:sz w:val="16"/>
                <w:szCs w:val="16"/>
                <w:lang w:val="ro-MD"/>
              </w:rPr>
              <w:t>Sursa: Ministerul Finanțelor</w:t>
            </w:r>
          </w:p>
        </w:tc>
      </w:tr>
    </w:tbl>
    <w:p w14:paraId="4C17763C" w14:textId="77777777" w:rsidR="009425EF" w:rsidRPr="00312485" w:rsidRDefault="009425EF" w:rsidP="004D5C5E">
      <w:pPr>
        <w:ind w:firstLine="567"/>
        <w:rPr>
          <w:sz w:val="24"/>
          <w:szCs w:val="28"/>
          <w:lang w:val="ro-MD"/>
        </w:rPr>
      </w:pPr>
    </w:p>
    <w:p w14:paraId="2129D4E2" w14:textId="77D56125" w:rsidR="004D5C5E" w:rsidRPr="00312485" w:rsidRDefault="004D5C5E" w:rsidP="004D5C5E">
      <w:pPr>
        <w:ind w:firstLine="567"/>
        <w:rPr>
          <w:sz w:val="24"/>
          <w:szCs w:val="28"/>
          <w:highlight w:val="yellow"/>
          <w:lang w:val="ro-MD"/>
        </w:rPr>
      </w:pPr>
      <w:r w:rsidRPr="00312485">
        <w:rPr>
          <w:sz w:val="24"/>
          <w:szCs w:val="28"/>
          <w:lang w:val="ro-MD"/>
        </w:rPr>
        <w:t xml:space="preserve">Proiecțiile bugetare demonstrează că, până în anul 2028 </w:t>
      </w:r>
      <w:r w:rsidRPr="00B308DF">
        <w:rPr>
          <w:i/>
          <w:sz w:val="24"/>
          <w:szCs w:val="28"/>
          <w:lang w:val="ro-MD"/>
        </w:rPr>
        <w:t xml:space="preserve">veniturile bugetului public național </w:t>
      </w:r>
      <w:r w:rsidRPr="00312485">
        <w:rPr>
          <w:sz w:val="24"/>
          <w:szCs w:val="24"/>
          <w:lang w:val="ro-MD"/>
        </w:rPr>
        <w:t>vor fi în creștere față de anul 2025 aprobat cu 30,7%, inclusiv în anul 2026 față de anul 2025 – cu 10,6%. Majorarea veniturilor va fi susținută, în primul rând, de restabilirea economică, impactul politicilor de stat de susținere a sectoarelor economice, precum și din contul unor măsuri ale politicii fiscale și vamale și de administrare mai bună a veniturilor.</w:t>
      </w:r>
      <w:r w:rsidRPr="00312485">
        <w:rPr>
          <w:sz w:val="24"/>
          <w:szCs w:val="28"/>
          <w:lang w:val="ro-MD"/>
        </w:rPr>
        <w:t xml:space="preserve">  Cu toate acestea, creșterea veniturilor bugetului public național pe termen mediu se bazează pe creșterea încasărilor din impozite și taxe, în condițiile în care estimările privind granturile externe pe termen mediu indică o tendință continuă de scădere.</w:t>
      </w:r>
    </w:p>
    <w:p w14:paraId="5CD89F2B" w14:textId="1E0989CE" w:rsidR="004D5C5E" w:rsidRPr="00312485" w:rsidRDefault="004D5C5E" w:rsidP="004D5C5E">
      <w:pPr>
        <w:ind w:firstLine="567"/>
        <w:rPr>
          <w:sz w:val="24"/>
          <w:szCs w:val="28"/>
          <w:lang w:val="ro-MD"/>
        </w:rPr>
      </w:pPr>
      <w:r w:rsidRPr="00312485">
        <w:rPr>
          <w:sz w:val="24"/>
          <w:szCs w:val="28"/>
          <w:lang w:val="ro-MD"/>
        </w:rPr>
        <w:t xml:space="preserve">Estimările indicatorilor </w:t>
      </w:r>
      <w:r w:rsidRPr="00625EB2">
        <w:rPr>
          <w:i/>
          <w:sz w:val="24"/>
          <w:szCs w:val="28"/>
          <w:lang w:val="ro-MD"/>
        </w:rPr>
        <w:t>bugetului asigurărilor sociale de stat</w:t>
      </w:r>
      <w:r w:rsidRPr="00312485">
        <w:rPr>
          <w:sz w:val="24"/>
          <w:szCs w:val="28"/>
          <w:lang w:val="ro-MD"/>
        </w:rPr>
        <w:t xml:space="preserve"> pentru anii 2026-2028 înregistrează o tend</w:t>
      </w:r>
      <w:r w:rsidR="008470C2" w:rsidRPr="00312485">
        <w:rPr>
          <w:sz w:val="24"/>
          <w:szCs w:val="28"/>
          <w:lang w:val="ro-MD"/>
        </w:rPr>
        <w:t>ință de creștere cu circa 26,3%</w:t>
      </w:r>
      <w:r w:rsidRPr="00312485">
        <w:rPr>
          <w:sz w:val="24"/>
          <w:szCs w:val="28"/>
          <w:lang w:val="ro-MD"/>
        </w:rPr>
        <w:t xml:space="preserve"> în 2028 față de aprobat 2025, inclusiv cu 9,5% în anul 2026 față de anul 2025. </w:t>
      </w:r>
      <w:r w:rsidRPr="00625EB2">
        <w:rPr>
          <w:i/>
          <w:sz w:val="24"/>
          <w:szCs w:val="28"/>
          <w:lang w:val="ro-MD"/>
        </w:rPr>
        <w:t>Transferurile</w:t>
      </w:r>
      <w:r w:rsidRPr="00312485">
        <w:rPr>
          <w:sz w:val="24"/>
          <w:szCs w:val="28"/>
          <w:lang w:val="ro-MD"/>
        </w:rPr>
        <w:t xml:space="preserve"> pentru bugetul asigurărilor sociale de stat vor crește cu 6,0% în 2026 față de aprobat 2025. E de menționat că pentru ani</w:t>
      </w:r>
      <w:r w:rsidR="00A02380">
        <w:rPr>
          <w:sz w:val="24"/>
          <w:szCs w:val="28"/>
          <w:lang w:val="ro-MD"/>
        </w:rPr>
        <w:t>i</w:t>
      </w:r>
      <w:r w:rsidRPr="00312485">
        <w:rPr>
          <w:sz w:val="24"/>
          <w:szCs w:val="28"/>
          <w:lang w:val="ro-MD"/>
        </w:rPr>
        <w:t xml:space="preserve"> 2026-2028 transferurile pentru acoperirea deficitului BASS vor constitui sumele de 3 835,0 mil. lei în 2026, de 3 200,0 mil. lei și </w:t>
      </w:r>
      <w:r w:rsidR="005538F2">
        <w:rPr>
          <w:sz w:val="24"/>
          <w:szCs w:val="28"/>
          <w:lang w:val="ro-MD"/>
        </w:rPr>
        <w:t xml:space="preserve">2 436 </w:t>
      </w:r>
      <w:r w:rsidRPr="00312485">
        <w:rPr>
          <w:sz w:val="24"/>
          <w:szCs w:val="28"/>
          <w:lang w:val="ro-MD"/>
        </w:rPr>
        <w:t xml:space="preserve">mil. lei pentru anii 2027 și, respectiv, 2028. Totodată, veniturile bugetului asigurărilor sociale de stat au un ritm de creștere mai lent decât cheltuielile, ceea ce afectează sustenabilitatea acestuia și </w:t>
      </w:r>
      <w:r w:rsidR="00453F7F" w:rsidRPr="00312485">
        <w:rPr>
          <w:sz w:val="24"/>
          <w:szCs w:val="28"/>
          <w:lang w:val="ro-MD"/>
        </w:rPr>
        <w:t>menține</w:t>
      </w:r>
      <w:r w:rsidRPr="00312485">
        <w:rPr>
          <w:sz w:val="24"/>
          <w:szCs w:val="28"/>
          <w:lang w:val="ro-MD"/>
        </w:rPr>
        <w:t xml:space="preserve"> povara asupra bugetului de stat</w:t>
      </w:r>
      <w:r w:rsidR="00217D69" w:rsidRPr="00312485">
        <w:rPr>
          <w:sz w:val="24"/>
          <w:szCs w:val="28"/>
          <w:lang w:val="ro-MD"/>
        </w:rPr>
        <w:t xml:space="preserve"> pe termen mediu</w:t>
      </w:r>
      <w:r w:rsidRPr="00312485">
        <w:rPr>
          <w:sz w:val="24"/>
          <w:szCs w:val="28"/>
          <w:lang w:val="ro-MD"/>
        </w:rPr>
        <w:t xml:space="preserve">. </w:t>
      </w:r>
    </w:p>
    <w:p w14:paraId="7D5F0FE1" w14:textId="4E78210C" w:rsidR="004D5C5E" w:rsidRPr="00312485" w:rsidRDefault="004D5C5E" w:rsidP="004D5C5E">
      <w:pPr>
        <w:ind w:firstLine="567"/>
        <w:rPr>
          <w:sz w:val="24"/>
          <w:szCs w:val="28"/>
          <w:lang w:val="ro-MD"/>
        </w:rPr>
      </w:pPr>
      <w:r w:rsidRPr="004D7354">
        <w:rPr>
          <w:i/>
          <w:sz w:val="24"/>
          <w:szCs w:val="28"/>
          <w:lang w:val="ro-MD"/>
        </w:rPr>
        <w:t>Veniturile fondurilor asigurărilor obligatorii de asistență medicală</w:t>
      </w:r>
      <w:r w:rsidRPr="00312485">
        <w:rPr>
          <w:sz w:val="24"/>
          <w:szCs w:val="28"/>
          <w:lang w:val="ro-MD"/>
        </w:rPr>
        <w:t xml:space="preserve"> în perioada anilor 2026-2028 vor crește în 2026 cu 9,1% față de 2025 aprobat, iar în 2027 și 2028 cu 17,1</w:t>
      </w:r>
      <w:r w:rsidR="009C2F40" w:rsidRPr="00312485">
        <w:rPr>
          <w:sz w:val="24"/>
          <w:szCs w:val="28"/>
          <w:lang w:val="ro-MD"/>
        </w:rPr>
        <w:t>% și respectiv 25,3</w:t>
      </w:r>
      <w:r w:rsidRPr="00312485">
        <w:rPr>
          <w:sz w:val="24"/>
          <w:szCs w:val="28"/>
          <w:lang w:val="ro-MD"/>
        </w:rPr>
        <w:t>%.</w:t>
      </w:r>
    </w:p>
    <w:p w14:paraId="42F13415" w14:textId="458E1050" w:rsidR="004D5C5E" w:rsidRPr="00312485" w:rsidRDefault="004D5C5E" w:rsidP="004D5C5E">
      <w:pPr>
        <w:ind w:firstLine="567"/>
        <w:rPr>
          <w:sz w:val="24"/>
          <w:szCs w:val="28"/>
          <w:lang w:val="ro-MD"/>
        </w:rPr>
      </w:pPr>
      <w:r w:rsidRPr="00312485">
        <w:rPr>
          <w:sz w:val="24"/>
          <w:szCs w:val="28"/>
          <w:lang w:val="ro-MD"/>
        </w:rPr>
        <w:t xml:space="preserve">Pe </w:t>
      </w:r>
      <w:r w:rsidRPr="004D7354">
        <w:rPr>
          <w:i/>
          <w:sz w:val="24"/>
          <w:szCs w:val="28"/>
          <w:lang w:val="ro-MD"/>
        </w:rPr>
        <w:t>componenta bugetelor locale</w:t>
      </w:r>
      <w:r w:rsidRPr="00312485">
        <w:rPr>
          <w:sz w:val="24"/>
          <w:szCs w:val="28"/>
          <w:lang w:val="ro-MD"/>
        </w:rPr>
        <w:t xml:space="preserve"> pentru anii 2026-2028 se estimează o creștere de 7,0% în 2026 față de 2025 aprobat, iar în anii</w:t>
      </w:r>
      <w:r w:rsidR="009C2F40" w:rsidRPr="00312485">
        <w:rPr>
          <w:sz w:val="24"/>
          <w:szCs w:val="28"/>
          <w:lang w:val="ro-MD"/>
        </w:rPr>
        <w:t xml:space="preserve"> 2027 și 2028 cu 11,6% și 16,7</w:t>
      </w:r>
      <w:r w:rsidRPr="00312485">
        <w:rPr>
          <w:sz w:val="24"/>
          <w:szCs w:val="28"/>
          <w:lang w:val="ro-MD"/>
        </w:rPr>
        <w:t>% respectiv.</w:t>
      </w:r>
    </w:p>
    <w:p w14:paraId="66E3AFD5" w14:textId="77777777" w:rsidR="000E5C77" w:rsidRDefault="000E5C77" w:rsidP="004D5C5E">
      <w:pPr>
        <w:spacing w:before="120"/>
        <w:ind w:firstLine="567"/>
        <w:rPr>
          <w:sz w:val="24"/>
          <w:szCs w:val="28"/>
          <w:lang w:val="ro-MD" w:eastAsia="ru-RU"/>
        </w:rPr>
      </w:pPr>
    </w:p>
    <w:p w14:paraId="3A67E185" w14:textId="293810A7" w:rsidR="004D5C5E" w:rsidRPr="00312485" w:rsidRDefault="004D5C5E" w:rsidP="004D5C5E">
      <w:pPr>
        <w:spacing w:before="120"/>
        <w:ind w:firstLine="567"/>
        <w:rPr>
          <w:sz w:val="24"/>
          <w:szCs w:val="28"/>
          <w:lang w:val="ro-MD" w:eastAsia="ru-RU"/>
        </w:rPr>
      </w:pPr>
      <w:r w:rsidRPr="00312485">
        <w:rPr>
          <w:sz w:val="24"/>
          <w:szCs w:val="28"/>
          <w:lang w:val="ro-MD" w:eastAsia="ru-RU"/>
        </w:rPr>
        <w:lastRenderedPageBreak/>
        <w:t>Estimările CBTM (2026-2028) pe componentele bugetului public național se  prezintă în tabelul 3.</w:t>
      </w:r>
      <w:r w:rsidR="00B154B9" w:rsidRPr="00312485">
        <w:rPr>
          <w:sz w:val="24"/>
          <w:szCs w:val="28"/>
          <w:lang w:val="ro-MD" w:eastAsia="ru-RU"/>
        </w:rPr>
        <w:t>3</w:t>
      </w:r>
      <w:r w:rsidRPr="00312485">
        <w:rPr>
          <w:sz w:val="24"/>
          <w:szCs w:val="28"/>
          <w:lang w:val="ro-MD" w:eastAsia="ru-RU"/>
        </w:rPr>
        <w:t xml:space="preserve">. </w:t>
      </w:r>
    </w:p>
    <w:p w14:paraId="68039145" w14:textId="77777777" w:rsidR="0093469A" w:rsidRDefault="0093469A" w:rsidP="004D5C5E">
      <w:pPr>
        <w:ind w:firstLine="567"/>
        <w:jc w:val="right"/>
        <w:rPr>
          <w:b/>
          <w:bCs/>
          <w:sz w:val="22"/>
          <w:szCs w:val="28"/>
          <w:lang w:val="ro-MD"/>
        </w:rPr>
      </w:pPr>
    </w:p>
    <w:p w14:paraId="49D1799F" w14:textId="5D1ACBA6" w:rsidR="004D5C5E" w:rsidRPr="00F1106A" w:rsidRDefault="00B154B9" w:rsidP="004D5C5E">
      <w:pPr>
        <w:ind w:firstLine="567"/>
        <w:jc w:val="right"/>
        <w:rPr>
          <w:b/>
          <w:bCs/>
          <w:sz w:val="22"/>
          <w:szCs w:val="28"/>
          <w:lang w:val="ro-MD"/>
        </w:rPr>
      </w:pPr>
      <w:r w:rsidRPr="00F1106A">
        <w:rPr>
          <w:b/>
          <w:bCs/>
          <w:sz w:val="22"/>
          <w:szCs w:val="28"/>
          <w:lang w:val="ro-MD"/>
        </w:rPr>
        <w:t>Tabelul 3.3</w:t>
      </w:r>
    </w:p>
    <w:p w14:paraId="0433B26A" w14:textId="4C61624D" w:rsidR="004D5C5E" w:rsidRPr="00312485" w:rsidRDefault="004D5C5E" w:rsidP="004D5C5E">
      <w:pPr>
        <w:ind w:firstLine="567"/>
        <w:jc w:val="center"/>
        <w:rPr>
          <w:b/>
          <w:bCs/>
          <w:szCs w:val="28"/>
          <w:lang w:val="ro-MD"/>
        </w:rPr>
      </w:pPr>
      <w:r w:rsidRPr="00312485">
        <w:rPr>
          <w:b/>
          <w:bCs/>
          <w:szCs w:val="28"/>
          <w:lang w:val="ro-MD"/>
        </w:rPr>
        <w:t>CBTM (2026-2028)</w:t>
      </w:r>
    </w:p>
    <w:p w14:paraId="4F0504A1" w14:textId="77777777" w:rsidR="0019741C" w:rsidRPr="00312485" w:rsidRDefault="0019741C" w:rsidP="004D5C5E">
      <w:pPr>
        <w:ind w:firstLine="567"/>
        <w:jc w:val="center"/>
        <w:rPr>
          <w:b/>
          <w:bCs/>
          <w:szCs w:val="28"/>
          <w:lang w:val="ro-MD"/>
        </w:rPr>
      </w:pPr>
    </w:p>
    <w:tbl>
      <w:tblPr>
        <w:tblW w:w="5462" w:type="pct"/>
        <w:tblInd w:w="-431" w:type="dxa"/>
        <w:tblLayout w:type="fixed"/>
        <w:tblLook w:val="04A0" w:firstRow="1" w:lastRow="0" w:firstColumn="1" w:lastColumn="0" w:noHBand="0" w:noVBand="1"/>
      </w:tblPr>
      <w:tblGrid>
        <w:gridCol w:w="236"/>
        <w:gridCol w:w="1667"/>
        <w:gridCol w:w="790"/>
        <w:gridCol w:w="835"/>
        <w:gridCol w:w="887"/>
        <w:gridCol w:w="831"/>
        <w:gridCol w:w="737"/>
        <w:gridCol w:w="669"/>
        <w:gridCol w:w="40"/>
        <w:gridCol w:w="12"/>
        <w:gridCol w:w="749"/>
        <w:gridCol w:w="12"/>
        <w:gridCol w:w="10"/>
        <w:gridCol w:w="42"/>
        <w:gridCol w:w="26"/>
        <w:gridCol w:w="743"/>
        <w:gridCol w:w="10"/>
        <w:gridCol w:w="54"/>
        <w:gridCol w:w="14"/>
        <w:gridCol w:w="741"/>
        <w:gridCol w:w="14"/>
        <w:gridCol w:w="10"/>
        <w:gridCol w:w="815"/>
        <w:gridCol w:w="10"/>
        <w:gridCol w:w="8"/>
      </w:tblGrid>
      <w:tr w:rsidR="00D06832" w:rsidRPr="00312485" w14:paraId="628DE724" w14:textId="77777777" w:rsidTr="00D06832">
        <w:trPr>
          <w:gridAfter w:val="1"/>
          <w:wAfter w:w="4" w:type="pct"/>
          <w:trHeight w:val="119"/>
          <w:tblHeader/>
        </w:trPr>
        <w:tc>
          <w:tcPr>
            <w:tcW w:w="955" w:type="pct"/>
            <w:gridSpan w:val="2"/>
            <w:vMerge w:val="restart"/>
            <w:tcBorders>
              <w:top w:val="single" w:sz="4" w:space="0" w:color="auto"/>
              <w:left w:val="single" w:sz="4" w:space="0" w:color="auto"/>
            </w:tcBorders>
            <w:noWrap/>
            <w:vAlign w:val="center"/>
            <w:hideMark/>
          </w:tcPr>
          <w:p w14:paraId="045B5E66" w14:textId="30D24052" w:rsidR="00D06832" w:rsidRPr="00312485" w:rsidRDefault="00D06832" w:rsidP="00B154B9">
            <w:pPr>
              <w:ind w:firstLine="0"/>
              <w:jc w:val="left"/>
              <w:rPr>
                <w:rFonts w:eastAsia="Calibri"/>
                <w:b/>
                <w:color w:val="000000"/>
                <w:sz w:val="14"/>
                <w:szCs w:val="14"/>
                <w:lang w:val="ro-MD"/>
              </w:rPr>
            </w:pPr>
            <w:r w:rsidRPr="00312485">
              <w:rPr>
                <w:rFonts w:eastAsia="Calibri"/>
                <w:b/>
                <w:color w:val="000000"/>
                <w:sz w:val="14"/>
                <w:szCs w:val="14"/>
                <w:lang w:val="ro-MD"/>
              </w:rPr>
              <w:t> </w:t>
            </w:r>
          </w:p>
          <w:p w14:paraId="1A2BA8FE" w14:textId="77777777" w:rsidR="00D06832" w:rsidRPr="00312485" w:rsidRDefault="00D06832" w:rsidP="00B154B9">
            <w:pPr>
              <w:ind w:firstLine="0"/>
              <w:jc w:val="center"/>
              <w:rPr>
                <w:rFonts w:eastAsia="Calibri"/>
                <w:b/>
                <w:color w:val="000000"/>
                <w:sz w:val="14"/>
                <w:szCs w:val="14"/>
                <w:lang w:val="ro-MD"/>
              </w:rPr>
            </w:pPr>
            <w:r w:rsidRPr="00312485">
              <w:rPr>
                <w:rFonts w:eastAsia="Calibri"/>
                <w:b/>
                <w:color w:val="000000"/>
                <w:sz w:val="14"/>
                <w:szCs w:val="14"/>
                <w:lang w:val="ro-MD"/>
              </w:rPr>
              <w:t> </w:t>
            </w:r>
          </w:p>
          <w:p w14:paraId="0A27CF9E" w14:textId="17FED591" w:rsidR="00D06832" w:rsidRPr="00312485" w:rsidRDefault="00D06832" w:rsidP="00B154B9">
            <w:pPr>
              <w:ind w:firstLine="0"/>
              <w:jc w:val="center"/>
              <w:rPr>
                <w:rFonts w:eastAsia="Calibri"/>
                <w:b/>
                <w:color w:val="000000"/>
                <w:sz w:val="14"/>
                <w:szCs w:val="14"/>
                <w:lang w:val="ro-MD"/>
              </w:rPr>
            </w:pPr>
            <w:r w:rsidRPr="00312485">
              <w:rPr>
                <w:rFonts w:eastAsia="Calibri"/>
                <w:b/>
                <w:color w:val="000000"/>
                <w:sz w:val="14"/>
                <w:szCs w:val="14"/>
                <w:lang w:val="ro-MD"/>
              </w:rPr>
              <w:t> </w:t>
            </w:r>
          </w:p>
        </w:tc>
        <w:tc>
          <w:tcPr>
            <w:tcW w:w="2048" w:type="pct"/>
            <w:gridSpan w:val="5"/>
            <w:tcBorders>
              <w:top w:val="single" w:sz="4" w:space="0" w:color="auto"/>
              <w:bottom w:val="single" w:sz="4" w:space="0" w:color="auto"/>
              <w:right w:val="single" w:sz="4" w:space="0" w:color="auto"/>
            </w:tcBorders>
          </w:tcPr>
          <w:p w14:paraId="2ED6063A" w14:textId="77777777" w:rsidR="00D06832" w:rsidRPr="00312485" w:rsidRDefault="00D06832" w:rsidP="00B154B9">
            <w:pPr>
              <w:ind w:firstLine="0"/>
              <w:jc w:val="center"/>
              <w:rPr>
                <w:rFonts w:eastAsia="Calibri"/>
                <w:b/>
                <w:color w:val="000000"/>
                <w:sz w:val="14"/>
                <w:szCs w:val="14"/>
                <w:lang w:val="ro-MD"/>
              </w:rPr>
            </w:pPr>
            <w:r w:rsidRPr="00312485">
              <w:rPr>
                <w:rFonts w:eastAsia="Calibri"/>
                <w:b/>
                <w:color w:val="000000"/>
                <w:sz w:val="14"/>
                <w:szCs w:val="14"/>
                <w:lang w:val="ro-MD"/>
              </w:rPr>
              <w:t>mil. lei</w:t>
            </w:r>
          </w:p>
        </w:tc>
        <w:tc>
          <w:tcPr>
            <w:tcW w:w="1993" w:type="pct"/>
            <w:gridSpan w:val="17"/>
            <w:tcBorders>
              <w:top w:val="single" w:sz="4" w:space="0" w:color="auto"/>
              <w:left w:val="single" w:sz="4" w:space="0" w:color="auto"/>
              <w:bottom w:val="single" w:sz="4" w:space="0" w:color="auto"/>
              <w:right w:val="single" w:sz="4" w:space="0" w:color="auto"/>
            </w:tcBorders>
          </w:tcPr>
          <w:p w14:paraId="63B99B76" w14:textId="77777777" w:rsidR="00D06832" w:rsidRPr="00312485" w:rsidRDefault="00D06832" w:rsidP="00B154B9">
            <w:pPr>
              <w:ind w:firstLine="0"/>
              <w:jc w:val="center"/>
              <w:rPr>
                <w:rFonts w:eastAsia="Calibri"/>
                <w:b/>
                <w:color w:val="000000"/>
                <w:sz w:val="14"/>
                <w:szCs w:val="14"/>
                <w:lang w:val="ro-MD"/>
              </w:rPr>
            </w:pPr>
            <w:r w:rsidRPr="00312485">
              <w:rPr>
                <w:rFonts w:eastAsia="Calibri"/>
                <w:b/>
                <w:color w:val="000000"/>
                <w:sz w:val="14"/>
                <w:szCs w:val="14"/>
                <w:lang w:val="ro-MD"/>
              </w:rPr>
              <w:t>% din PIB</w:t>
            </w:r>
          </w:p>
        </w:tc>
      </w:tr>
      <w:tr w:rsidR="00D24B28" w:rsidRPr="00312485" w14:paraId="7C65AAE9" w14:textId="77777777" w:rsidTr="00D06832">
        <w:trPr>
          <w:gridAfter w:val="1"/>
          <w:wAfter w:w="4" w:type="pct"/>
          <w:trHeight w:val="112"/>
          <w:tblHeader/>
        </w:trPr>
        <w:tc>
          <w:tcPr>
            <w:tcW w:w="955" w:type="pct"/>
            <w:gridSpan w:val="2"/>
            <w:vMerge/>
            <w:tcBorders>
              <w:left w:val="single" w:sz="4" w:space="0" w:color="auto"/>
            </w:tcBorders>
            <w:noWrap/>
            <w:vAlign w:val="bottom"/>
            <w:hideMark/>
          </w:tcPr>
          <w:p w14:paraId="2527C077" w14:textId="3D47BE46" w:rsidR="00004597" w:rsidRPr="00312485" w:rsidRDefault="00004597" w:rsidP="00B154B9">
            <w:pPr>
              <w:ind w:firstLine="0"/>
              <w:jc w:val="center"/>
              <w:rPr>
                <w:rFonts w:eastAsia="Calibri"/>
                <w:sz w:val="14"/>
                <w:szCs w:val="14"/>
                <w:lang w:val="ro-MD" w:eastAsia="en-GB"/>
              </w:rPr>
            </w:pPr>
          </w:p>
        </w:tc>
        <w:tc>
          <w:tcPr>
            <w:tcW w:w="397" w:type="pct"/>
            <w:tcBorders>
              <w:top w:val="single" w:sz="4" w:space="0" w:color="auto"/>
            </w:tcBorders>
            <w:noWrap/>
            <w:vAlign w:val="center"/>
            <w:hideMark/>
          </w:tcPr>
          <w:p w14:paraId="010F63FC" w14:textId="77777777" w:rsidR="00004597" w:rsidRPr="00312485" w:rsidRDefault="00004597" w:rsidP="00B154B9">
            <w:pPr>
              <w:ind w:firstLine="0"/>
              <w:jc w:val="center"/>
              <w:rPr>
                <w:b/>
                <w:bCs/>
                <w:color w:val="000000"/>
                <w:sz w:val="14"/>
                <w:szCs w:val="14"/>
                <w:lang w:val="ro-MD"/>
              </w:rPr>
            </w:pPr>
            <w:r w:rsidRPr="00312485">
              <w:rPr>
                <w:rFonts w:eastAsia="Calibri"/>
                <w:b/>
                <w:bCs/>
                <w:color w:val="000000"/>
                <w:sz w:val="14"/>
                <w:szCs w:val="14"/>
                <w:lang w:val="ro-MD"/>
              </w:rPr>
              <w:t>2025</w:t>
            </w:r>
          </w:p>
        </w:tc>
        <w:tc>
          <w:tcPr>
            <w:tcW w:w="419" w:type="pct"/>
            <w:tcBorders>
              <w:top w:val="single" w:sz="4" w:space="0" w:color="auto"/>
            </w:tcBorders>
            <w:vAlign w:val="center"/>
          </w:tcPr>
          <w:p w14:paraId="467B6A5A" w14:textId="5AE9FEE5" w:rsidR="00004597" w:rsidRPr="00312485" w:rsidRDefault="00004597" w:rsidP="00CB4AEC">
            <w:pPr>
              <w:ind w:firstLine="0"/>
              <w:jc w:val="center"/>
              <w:rPr>
                <w:rFonts w:eastAsia="Calibri"/>
                <w:b/>
                <w:bCs/>
                <w:color w:val="000000"/>
                <w:sz w:val="14"/>
                <w:szCs w:val="14"/>
                <w:lang w:val="ro-MD"/>
              </w:rPr>
            </w:pPr>
            <w:r w:rsidRPr="00312485">
              <w:rPr>
                <w:rFonts w:eastAsia="Calibri"/>
                <w:b/>
                <w:bCs/>
                <w:color w:val="000000"/>
                <w:sz w:val="14"/>
                <w:szCs w:val="14"/>
                <w:lang w:val="ro-MD"/>
              </w:rPr>
              <w:t>20</w:t>
            </w:r>
            <w:r w:rsidR="00CB4AEC" w:rsidRPr="00312485">
              <w:rPr>
                <w:rFonts w:eastAsia="Calibri"/>
                <w:b/>
                <w:bCs/>
                <w:color w:val="000000"/>
                <w:sz w:val="14"/>
                <w:szCs w:val="14"/>
                <w:lang w:val="ro-MD"/>
              </w:rPr>
              <w:t>25</w:t>
            </w:r>
          </w:p>
        </w:tc>
        <w:tc>
          <w:tcPr>
            <w:tcW w:w="445" w:type="pct"/>
            <w:tcBorders>
              <w:top w:val="single" w:sz="4" w:space="0" w:color="auto"/>
            </w:tcBorders>
            <w:noWrap/>
            <w:vAlign w:val="center"/>
            <w:hideMark/>
          </w:tcPr>
          <w:p w14:paraId="07ABD432"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2026</w:t>
            </w:r>
          </w:p>
        </w:tc>
        <w:tc>
          <w:tcPr>
            <w:tcW w:w="417" w:type="pct"/>
            <w:tcBorders>
              <w:top w:val="single" w:sz="4" w:space="0" w:color="auto"/>
            </w:tcBorders>
            <w:noWrap/>
            <w:vAlign w:val="center"/>
            <w:hideMark/>
          </w:tcPr>
          <w:p w14:paraId="65F82468"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2027</w:t>
            </w:r>
          </w:p>
        </w:tc>
        <w:tc>
          <w:tcPr>
            <w:tcW w:w="370" w:type="pct"/>
            <w:tcBorders>
              <w:top w:val="single" w:sz="4" w:space="0" w:color="auto"/>
              <w:bottom w:val="nil"/>
              <w:right w:val="single" w:sz="4" w:space="0" w:color="auto"/>
            </w:tcBorders>
            <w:noWrap/>
            <w:vAlign w:val="center"/>
            <w:hideMark/>
          </w:tcPr>
          <w:p w14:paraId="7B9983FE"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2028</w:t>
            </w:r>
          </w:p>
        </w:tc>
        <w:tc>
          <w:tcPr>
            <w:tcW w:w="336" w:type="pct"/>
            <w:tcBorders>
              <w:top w:val="single" w:sz="4" w:space="0" w:color="auto"/>
              <w:left w:val="single" w:sz="4" w:space="0" w:color="auto"/>
              <w:bottom w:val="nil"/>
            </w:tcBorders>
            <w:noWrap/>
            <w:vAlign w:val="center"/>
            <w:hideMark/>
          </w:tcPr>
          <w:p w14:paraId="4B699BC9"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2025</w:t>
            </w:r>
          </w:p>
        </w:tc>
        <w:tc>
          <w:tcPr>
            <w:tcW w:w="413" w:type="pct"/>
            <w:gridSpan w:val="5"/>
            <w:tcBorders>
              <w:top w:val="single" w:sz="4" w:space="0" w:color="auto"/>
            </w:tcBorders>
            <w:vAlign w:val="center"/>
          </w:tcPr>
          <w:p w14:paraId="2D8A593E"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2025</w:t>
            </w:r>
          </w:p>
        </w:tc>
        <w:tc>
          <w:tcPr>
            <w:tcW w:w="407" w:type="pct"/>
            <w:gridSpan w:val="3"/>
            <w:tcBorders>
              <w:top w:val="single" w:sz="4" w:space="0" w:color="auto"/>
            </w:tcBorders>
            <w:noWrap/>
            <w:vAlign w:val="center"/>
            <w:hideMark/>
          </w:tcPr>
          <w:p w14:paraId="2F8E7697"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2026</w:t>
            </w:r>
          </w:p>
        </w:tc>
        <w:tc>
          <w:tcPr>
            <w:tcW w:w="418" w:type="pct"/>
            <w:gridSpan w:val="5"/>
            <w:tcBorders>
              <w:top w:val="single" w:sz="4" w:space="0" w:color="auto"/>
            </w:tcBorders>
            <w:noWrap/>
            <w:vAlign w:val="center"/>
            <w:hideMark/>
          </w:tcPr>
          <w:p w14:paraId="07685B3F"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2027</w:t>
            </w:r>
          </w:p>
        </w:tc>
        <w:tc>
          <w:tcPr>
            <w:tcW w:w="419" w:type="pct"/>
            <w:gridSpan w:val="3"/>
            <w:tcBorders>
              <w:top w:val="single" w:sz="4" w:space="0" w:color="auto"/>
              <w:right w:val="single" w:sz="4" w:space="0" w:color="auto"/>
            </w:tcBorders>
            <w:noWrap/>
            <w:vAlign w:val="center"/>
            <w:hideMark/>
          </w:tcPr>
          <w:p w14:paraId="498131F0" w14:textId="77777777" w:rsidR="00004597" w:rsidRPr="00312485" w:rsidRDefault="00004597"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2028</w:t>
            </w:r>
          </w:p>
        </w:tc>
      </w:tr>
      <w:tr w:rsidR="00D24B28" w:rsidRPr="00312485" w14:paraId="668D6418" w14:textId="77777777" w:rsidTr="00D06832">
        <w:trPr>
          <w:gridAfter w:val="1"/>
          <w:wAfter w:w="4" w:type="pct"/>
          <w:trHeight w:val="74"/>
          <w:tblHeader/>
        </w:trPr>
        <w:tc>
          <w:tcPr>
            <w:tcW w:w="955" w:type="pct"/>
            <w:gridSpan w:val="2"/>
            <w:vMerge/>
            <w:tcBorders>
              <w:left w:val="single" w:sz="4" w:space="0" w:color="auto"/>
              <w:bottom w:val="single" w:sz="4" w:space="0" w:color="auto"/>
            </w:tcBorders>
            <w:noWrap/>
            <w:vAlign w:val="center"/>
            <w:hideMark/>
          </w:tcPr>
          <w:p w14:paraId="28D0F0B7" w14:textId="54743280" w:rsidR="00004597" w:rsidRPr="00312485" w:rsidRDefault="00004597" w:rsidP="00B154B9">
            <w:pPr>
              <w:ind w:firstLine="0"/>
              <w:jc w:val="center"/>
              <w:rPr>
                <w:rFonts w:eastAsia="Calibri"/>
                <w:b/>
                <w:color w:val="000000"/>
                <w:sz w:val="14"/>
                <w:szCs w:val="14"/>
                <w:lang w:val="ro-MD"/>
              </w:rPr>
            </w:pPr>
          </w:p>
        </w:tc>
        <w:tc>
          <w:tcPr>
            <w:tcW w:w="397" w:type="pct"/>
            <w:tcBorders>
              <w:top w:val="nil"/>
              <w:bottom w:val="single" w:sz="4" w:space="0" w:color="auto"/>
            </w:tcBorders>
            <w:noWrap/>
            <w:vAlign w:val="center"/>
            <w:hideMark/>
          </w:tcPr>
          <w:p w14:paraId="72AF6C5A" w14:textId="77777777" w:rsidR="00004597" w:rsidRPr="00312485" w:rsidRDefault="00004597" w:rsidP="00D24B28">
            <w:pPr>
              <w:ind w:left="-144" w:firstLine="0"/>
              <w:jc w:val="center"/>
              <w:rPr>
                <w:rFonts w:eastAsia="Calibri"/>
                <w:b/>
                <w:color w:val="000000"/>
                <w:sz w:val="14"/>
                <w:szCs w:val="14"/>
                <w:lang w:val="ro-MD"/>
              </w:rPr>
            </w:pPr>
            <w:r w:rsidRPr="00312485">
              <w:rPr>
                <w:rFonts w:eastAsia="Calibri"/>
                <w:b/>
                <w:color w:val="000000"/>
                <w:sz w:val="14"/>
                <w:szCs w:val="14"/>
                <w:lang w:val="ro-MD"/>
              </w:rPr>
              <w:t xml:space="preserve">Aprobat </w:t>
            </w:r>
          </w:p>
        </w:tc>
        <w:tc>
          <w:tcPr>
            <w:tcW w:w="419" w:type="pct"/>
            <w:tcBorders>
              <w:top w:val="nil"/>
              <w:bottom w:val="single" w:sz="4" w:space="0" w:color="auto"/>
            </w:tcBorders>
            <w:vAlign w:val="center"/>
          </w:tcPr>
          <w:p w14:paraId="4EDCAAA9"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 xml:space="preserve">Modificat </w:t>
            </w:r>
          </w:p>
        </w:tc>
        <w:tc>
          <w:tcPr>
            <w:tcW w:w="445" w:type="pct"/>
            <w:tcBorders>
              <w:top w:val="nil"/>
              <w:bottom w:val="single" w:sz="4" w:space="0" w:color="auto"/>
            </w:tcBorders>
            <w:noWrap/>
            <w:vAlign w:val="center"/>
            <w:hideMark/>
          </w:tcPr>
          <w:p w14:paraId="028BF9E1"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Prognozat</w:t>
            </w:r>
          </w:p>
        </w:tc>
        <w:tc>
          <w:tcPr>
            <w:tcW w:w="417" w:type="pct"/>
            <w:tcBorders>
              <w:top w:val="nil"/>
              <w:bottom w:val="single" w:sz="4" w:space="0" w:color="auto"/>
            </w:tcBorders>
            <w:noWrap/>
            <w:vAlign w:val="center"/>
            <w:hideMark/>
          </w:tcPr>
          <w:p w14:paraId="4EFDD01B"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Prognozat</w:t>
            </w:r>
          </w:p>
        </w:tc>
        <w:tc>
          <w:tcPr>
            <w:tcW w:w="370" w:type="pct"/>
            <w:tcBorders>
              <w:top w:val="nil"/>
              <w:bottom w:val="single" w:sz="4" w:space="0" w:color="auto"/>
              <w:right w:val="single" w:sz="4" w:space="0" w:color="auto"/>
            </w:tcBorders>
            <w:noWrap/>
            <w:vAlign w:val="center"/>
            <w:hideMark/>
          </w:tcPr>
          <w:p w14:paraId="7A256B75" w14:textId="77777777" w:rsidR="00004597" w:rsidRPr="00312485" w:rsidRDefault="00004597" w:rsidP="00D24B28">
            <w:pPr>
              <w:ind w:left="-85" w:right="-111" w:firstLine="0"/>
              <w:jc w:val="center"/>
              <w:rPr>
                <w:rFonts w:eastAsia="Calibri"/>
                <w:b/>
                <w:color w:val="000000"/>
                <w:sz w:val="14"/>
                <w:szCs w:val="14"/>
                <w:lang w:val="ro-MD"/>
              </w:rPr>
            </w:pPr>
            <w:r w:rsidRPr="00312485">
              <w:rPr>
                <w:rFonts w:eastAsia="Calibri"/>
                <w:b/>
                <w:color w:val="000000"/>
                <w:sz w:val="14"/>
                <w:szCs w:val="14"/>
                <w:lang w:val="ro-MD"/>
              </w:rPr>
              <w:t>Prognozat</w:t>
            </w:r>
          </w:p>
        </w:tc>
        <w:tc>
          <w:tcPr>
            <w:tcW w:w="336" w:type="pct"/>
            <w:tcBorders>
              <w:top w:val="nil"/>
              <w:left w:val="single" w:sz="4" w:space="0" w:color="auto"/>
              <w:bottom w:val="single" w:sz="4" w:space="0" w:color="auto"/>
            </w:tcBorders>
            <w:noWrap/>
            <w:vAlign w:val="center"/>
            <w:hideMark/>
          </w:tcPr>
          <w:p w14:paraId="08985B92" w14:textId="77777777" w:rsidR="00004597" w:rsidRPr="00312485" w:rsidRDefault="00004597" w:rsidP="00D24B28">
            <w:pPr>
              <w:ind w:left="-102" w:right="-144" w:firstLine="0"/>
              <w:jc w:val="center"/>
              <w:rPr>
                <w:rFonts w:eastAsia="Calibri"/>
                <w:b/>
                <w:color w:val="000000"/>
                <w:sz w:val="14"/>
                <w:szCs w:val="14"/>
                <w:lang w:val="ro-MD"/>
              </w:rPr>
            </w:pPr>
            <w:r w:rsidRPr="00312485">
              <w:rPr>
                <w:rFonts w:eastAsia="Calibri"/>
                <w:b/>
                <w:color w:val="000000"/>
                <w:sz w:val="14"/>
                <w:szCs w:val="14"/>
                <w:lang w:val="ro-MD"/>
              </w:rPr>
              <w:t xml:space="preserve">Aprobat </w:t>
            </w:r>
          </w:p>
        </w:tc>
        <w:tc>
          <w:tcPr>
            <w:tcW w:w="402" w:type="pct"/>
            <w:gridSpan w:val="3"/>
            <w:tcBorders>
              <w:top w:val="nil"/>
              <w:bottom w:val="single" w:sz="4" w:space="0" w:color="auto"/>
            </w:tcBorders>
            <w:vAlign w:val="center"/>
          </w:tcPr>
          <w:p w14:paraId="57FDB173"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 xml:space="preserve">Modificat </w:t>
            </w:r>
          </w:p>
        </w:tc>
        <w:tc>
          <w:tcPr>
            <w:tcW w:w="418" w:type="pct"/>
            <w:gridSpan w:val="5"/>
            <w:tcBorders>
              <w:top w:val="nil"/>
              <w:bottom w:val="single" w:sz="4" w:space="0" w:color="auto"/>
            </w:tcBorders>
            <w:noWrap/>
            <w:vAlign w:val="center"/>
            <w:hideMark/>
          </w:tcPr>
          <w:p w14:paraId="3A8D7892"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Prognozat</w:t>
            </w:r>
          </w:p>
        </w:tc>
        <w:tc>
          <w:tcPr>
            <w:tcW w:w="418" w:type="pct"/>
            <w:gridSpan w:val="5"/>
            <w:tcBorders>
              <w:top w:val="nil"/>
              <w:bottom w:val="single" w:sz="4" w:space="0" w:color="auto"/>
            </w:tcBorders>
            <w:noWrap/>
            <w:vAlign w:val="center"/>
            <w:hideMark/>
          </w:tcPr>
          <w:p w14:paraId="6057532D"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Prognozat</w:t>
            </w:r>
          </w:p>
        </w:tc>
        <w:tc>
          <w:tcPr>
            <w:tcW w:w="419" w:type="pct"/>
            <w:gridSpan w:val="3"/>
            <w:tcBorders>
              <w:top w:val="nil"/>
              <w:bottom w:val="single" w:sz="4" w:space="0" w:color="auto"/>
              <w:right w:val="single" w:sz="4" w:space="0" w:color="auto"/>
            </w:tcBorders>
            <w:noWrap/>
            <w:vAlign w:val="center"/>
            <w:hideMark/>
          </w:tcPr>
          <w:p w14:paraId="111ED2E5" w14:textId="77777777" w:rsidR="00004597" w:rsidRPr="00312485" w:rsidRDefault="00004597" w:rsidP="00B154B9">
            <w:pPr>
              <w:ind w:firstLine="0"/>
              <w:jc w:val="center"/>
              <w:rPr>
                <w:rFonts w:eastAsia="Calibri"/>
                <w:b/>
                <w:color w:val="000000"/>
                <w:sz w:val="14"/>
                <w:szCs w:val="14"/>
                <w:lang w:val="ro-MD"/>
              </w:rPr>
            </w:pPr>
            <w:r w:rsidRPr="00312485">
              <w:rPr>
                <w:rFonts w:eastAsia="Calibri"/>
                <w:b/>
                <w:color w:val="000000"/>
                <w:sz w:val="14"/>
                <w:szCs w:val="14"/>
                <w:lang w:val="ro-MD"/>
              </w:rPr>
              <w:t>Prognozat</w:t>
            </w:r>
          </w:p>
        </w:tc>
      </w:tr>
      <w:tr w:rsidR="00D24B28" w:rsidRPr="00312485" w14:paraId="752FEDB8" w14:textId="77777777" w:rsidTr="00D06832">
        <w:trPr>
          <w:gridAfter w:val="1"/>
          <w:wAfter w:w="4" w:type="pct"/>
          <w:trHeight w:val="415"/>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5945E2CE" w14:textId="77777777" w:rsidR="00530F82" w:rsidRPr="00312485" w:rsidRDefault="00530F82" w:rsidP="00B154B9">
            <w:pPr>
              <w:ind w:firstLine="0"/>
              <w:jc w:val="left"/>
              <w:rPr>
                <w:rFonts w:eastAsia="Calibri"/>
                <w:b/>
                <w:bCs/>
                <w:color w:val="000000"/>
                <w:sz w:val="14"/>
                <w:szCs w:val="14"/>
                <w:lang w:val="ro-MD"/>
              </w:rPr>
            </w:pPr>
            <w:r w:rsidRPr="00312485">
              <w:rPr>
                <w:rFonts w:eastAsia="Calibri"/>
                <w:b/>
                <w:bCs/>
                <w:color w:val="000000"/>
                <w:sz w:val="16"/>
                <w:szCs w:val="14"/>
                <w:lang w:val="ro-MD"/>
              </w:rPr>
              <w:t>Total venituri BPN</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691ADCDD"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119 253</w:t>
            </w:r>
          </w:p>
        </w:tc>
        <w:tc>
          <w:tcPr>
            <w:tcW w:w="419" w:type="pct"/>
            <w:tcBorders>
              <w:top w:val="single" w:sz="4" w:space="0" w:color="auto"/>
              <w:left w:val="single" w:sz="4" w:space="0" w:color="auto"/>
              <w:bottom w:val="single" w:sz="4" w:space="0" w:color="auto"/>
              <w:right w:val="single" w:sz="4" w:space="0" w:color="auto"/>
            </w:tcBorders>
            <w:vAlign w:val="center"/>
          </w:tcPr>
          <w:p w14:paraId="4697F6EE"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124 052</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4EE8F0D6"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131 904</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596C1C8E"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143 394</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2390531F"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155 806</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72D19670"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34,2%</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6D854025"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35,3%</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2BFAB637"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34,7%</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4C2D2FAD"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34,8%</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7C8AD590"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35,4%</w:t>
            </w:r>
          </w:p>
        </w:tc>
      </w:tr>
      <w:tr w:rsidR="00D24B28" w:rsidRPr="00312485" w14:paraId="6D63D867"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bottom"/>
            <w:hideMark/>
          </w:tcPr>
          <w:p w14:paraId="35A2A0D5" w14:textId="77777777" w:rsidR="00B902A4" w:rsidRPr="00312485" w:rsidRDefault="00B902A4" w:rsidP="00B154B9">
            <w:pPr>
              <w:ind w:firstLine="0"/>
              <w:jc w:val="left"/>
              <w:rPr>
                <w:b/>
                <w:bCs/>
                <w:color w:val="000000"/>
                <w:sz w:val="14"/>
                <w:szCs w:val="14"/>
                <w:lang w:val="ro-MD"/>
              </w:rPr>
            </w:pPr>
            <w:r w:rsidRPr="00312485">
              <w:rPr>
                <w:rFonts w:eastAsia="Calibri"/>
                <w:b/>
                <w:bCs/>
                <w:color w:val="000000"/>
                <w:sz w:val="14"/>
                <w:szCs w:val="14"/>
                <w:lang w:val="ro-MD"/>
              </w:rPr>
              <w:t>Bugetul de stat</w:t>
            </w:r>
            <w:r w:rsidRPr="00312485">
              <w:rPr>
                <w:rFonts w:eastAsia="Calibri"/>
                <w:i/>
                <w:iCs/>
                <w:color w:val="000000"/>
                <w:sz w:val="14"/>
                <w:szCs w:val="14"/>
                <w:lang w:val="ro-MD"/>
              </w:rPr>
              <w:t xml:space="preserve">   </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3B00DBDA" w14:textId="77777777" w:rsidR="00B902A4" w:rsidRPr="00312485" w:rsidRDefault="00B902A4" w:rsidP="00B154B9">
            <w:pPr>
              <w:ind w:firstLine="0"/>
              <w:jc w:val="center"/>
              <w:rPr>
                <w:rFonts w:eastAsia="Calibri"/>
                <w:bCs/>
                <w:i/>
                <w:color w:val="000000"/>
                <w:sz w:val="14"/>
                <w:szCs w:val="14"/>
                <w:lang w:val="ro-MD"/>
              </w:rPr>
            </w:pPr>
            <w:r w:rsidRPr="00312485">
              <w:rPr>
                <w:rFonts w:eastAsia="Calibri"/>
                <w:b/>
                <w:bCs/>
                <w:color w:val="000000"/>
                <w:sz w:val="14"/>
                <w:szCs w:val="14"/>
                <w:lang w:val="ro-MD"/>
              </w:rPr>
              <w:t>71 554</w:t>
            </w:r>
          </w:p>
        </w:tc>
        <w:tc>
          <w:tcPr>
            <w:tcW w:w="419" w:type="pct"/>
            <w:tcBorders>
              <w:top w:val="single" w:sz="4" w:space="0" w:color="auto"/>
              <w:left w:val="single" w:sz="4" w:space="0" w:color="auto"/>
              <w:bottom w:val="single" w:sz="4" w:space="0" w:color="auto"/>
              <w:right w:val="single" w:sz="4" w:space="0" w:color="auto"/>
            </w:tcBorders>
            <w:vAlign w:val="center"/>
          </w:tcPr>
          <w:p w14:paraId="2AFF172F"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75 933</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17292983" w14:textId="77777777" w:rsidR="00B902A4" w:rsidRPr="00312485" w:rsidRDefault="00B902A4" w:rsidP="00B154B9">
            <w:pPr>
              <w:ind w:firstLine="0"/>
              <w:jc w:val="center"/>
              <w:rPr>
                <w:rFonts w:eastAsia="Calibri"/>
                <w:bCs/>
                <w:i/>
                <w:color w:val="000000"/>
                <w:sz w:val="14"/>
                <w:szCs w:val="14"/>
                <w:lang w:val="ro-MD"/>
              </w:rPr>
            </w:pPr>
            <w:r w:rsidRPr="00312485">
              <w:rPr>
                <w:rFonts w:eastAsia="Calibri"/>
                <w:b/>
                <w:bCs/>
                <w:color w:val="000000"/>
                <w:sz w:val="14"/>
                <w:szCs w:val="14"/>
                <w:lang w:val="ro-MD"/>
              </w:rPr>
              <w:t>78 879</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212A4C5A" w14:textId="77777777" w:rsidR="00B902A4" w:rsidRPr="00312485" w:rsidRDefault="00B902A4" w:rsidP="00B154B9">
            <w:pPr>
              <w:ind w:firstLine="0"/>
              <w:jc w:val="center"/>
              <w:rPr>
                <w:rFonts w:eastAsia="Calibri"/>
                <w:bCs/>
                <w:i/>
                <w:color w:val="000000"/>
                <w:sz w:val="14"/>
                <w:szCs w:val="14"/>
                <w:lang w:val="ro-MD"/>
              </w:rPr>
            </w:pPr>
            <w:r w:rsidRPr="00312485">
              <w:rPr>
                <w:rFonts w:eastAsia="Calibri"/>
                <w:b/>
                <w:bCs/>
                <w:color w:val="000000"/>
                <w:sz w:val="14"/>
                <w:szCs w:val="14"/>
                <w:lang w:val="ro-MD"/>
              </w:rPr>
              <w:t>85 266</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6EBFD04A" w14:textId="1421AE8D" w:rsidR="00B902A4" w:rsidRPr="00312485" w:rsidRDefault="00B902A4" w:rsidP="00B154B9">
            <w:pPr>
              <w:ind w:firstLine="0"/>
              <w:jc w:val="center"/>
              <w:rPr>
                <w:rFonts w:eastAsia="Calibri"/>
                <w:bCs/>
                <w:i/>
                <w:color w:val="000000"/>
                <w:sz w:val="14"/>
                <w:szCs w:val="14"/>
                <w:lang w:val="ro-MD"/>
              </w:rPr>
            </w:pPr>
            <w:r w:rsidRPr="00312485">
              <w:rPr>
                <w:rFonts w:eastAsia="Calibri"/>
                <w:b/>
                <w:bCs/>
                <w:color w:val="000000"/>
                <w:sz w:val="14"/>
                <w:szCs w:val="14"/>
                <w:lang w:val="ro-MD"/>
              </w:rPr>
              <w:t>92 175</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4FA69E8B" w14:textId="3541A4D6"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20,5%</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461D177B" w14:textId="2E96187B" w:rsidR="00B902A4" w:rsidRPr="00312485" w:rsidRDefault="00B902A4" w:rsidP="009848C2">
            <w:pPr>
              <w:ind w:firstLine="0"/>
              <w:jc w:val="center"/>
              <w:rPr>
                <w:rFonts w:eastAsia="Calibri"/>
                <w:b/>
                <w:bCs/>
                <w:color w:val="000000"/>
                <w:sz w:val="14"/>
                <w:szCs w:val="14"/>
                <w:lang w:val="ro-MD"/>
              </w:rPr>
            </w:pPr>
            <w:r w:rsidRPr="00312485">
              <w:rPr>
                <w:rFonts w:eastAsia="Calibri"/>
                <w:b/>
                <w:bCs/>
                <w:color w:val="000000"/>
                <w:sz w:val="14"/>
                <w:szCs w:val="14"/>
                <w:lang w:val="ro-MD"/>
              </w:rPr>
              <w:t>21,6%</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651AB37B"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20,7%</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4C6461CE" w14:textId="5E5466B7" w:rsidR="00B902A4" w:rsidRPr="00312485" w:rsidRDefault="00B902A4" w:rsidP="0022691B">
            <w:pPr>
              <w:ind w:firstLine="0"/>
              <w:jc w:val="center"/>
              <w:rPr>
                <w:rFonts w:eastAsia="Calibri"/>
                <w:b/>
                <w:bCs/>
                <w:color w:val="000000"/>
                <w:sz w:val="14"/>
                <w:szCs w:val="14"/>
                <w:lang w:val="ro-MD"/>
              </w:rPr>
            </w:pPr>
            <w:r w:rsidRPr="00312485">
              <w:rPr>
                <w:rFonts w:eastAsia="Calibri"/>
                <w:b/>
                <w:bCs/>
                <w:color w:val="000000"/>
                <w:sz w:val="14"/>
                <w:szCs w:val="14"/>
                <w:lang w:val="ro-MD"/>
              </w:rPr>
              <w:t>20,7%</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4208F9CC" w14:textId="26407142"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20,9%</w:t>
            </w:r>
          </w:p>
        </w:tc>
      </w:tr>
      <w:tr w:rsidR="00D24B28" w:rsidRPr="00312485" w14:paraId="378A8F78"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bottom"/>
          </w:tcPr>
          <w:p w14:paraId="6F456B21" w14:textId="77777777" w:rsidR="00B902A4" w:rsidRPr="00312485" w:rsidRDefault="00B902A4" w:rsidP="00B154B9">
            <w:pPr>
              <w:ind w:firstLine="0"/>
              <w:jc w:val="left"/>
              <w:rPr>
                <w:rFonts w:eastAsia="Calibri"/>
                <w:b/>
                <w:bCs/>
                <w:color w:val="000000"/>
                <w:sz w:val="14"/>
                <w:szCs w:val="14"/>
                <w:lang w:val="ro-MD"/>
              </w:rPr>
            </w:pPr>
            <w:r w:rsidRPr="00312485">
              <w:rPr>
                <w:rFonts w:eastAsia="Calibri"/>
                <w:i/>
                <w:iCs/>
                <w:color w:val="000000"/>
                <w:sz w:val="14"/>
                <w:szCs w:val="14"/>
                <w:lang w:val="ro-MD"/>
              </w:rPr>
              <w:t>inclusiv transferuri</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552BC13B"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Cs/>
                <w:i/>
                <w:color w:val="000000"/>
                <w:sz w:val="14"/>
                <w:szCs w:val="14"/>
                <w:lang w:val="ro-MD"/>
              </w:rPr>
              <w:t>28</w:t>
            </w:r>
          </w:p>
        </w:tc>
        <w:tc>
          <w:tcPr>
            <w:tcW w:w="419" w:type="pct"/>
            <w:tcBorders>
              <w:top w:val="single" w:sz="4" w:space="0" w:color="auto"/>
              <w:left w:val="single" w:sz="4" w:space="0" w:color="auto"/>
              <w:bottom w:val="single" w:sz="4" w:space="0" w:color="auto"/>
              <w:right w:val="single" w:sz="4" w:space="0" w:color="auto"/>
            </w:tcBorders>
            <w:vAlign w:val="center"/>
          </w:tcPr>
          <w:p w14:paraId="0AA0D22C" w14:textId="77777777" w:rsidR="00B902A4" w:rsidRPr="00312485" w:rsidRDefault="00B902A4" w:rsidP="00B154B9">
            <w:pPr>
              <w:ind w:firstLine="0"/>
              <w:jc w:val="center"/>
              <w:rPr>
                <w:rFonts w:eastAsia="Calibri"/>
                <w:bCs/>
                <w:i/>
                <w:color w:val="000000"/>
                <w:sz w:val="14"/>
                <w:szCs w:val="14"/>
                <w:lang w:val="ro-MD"/>
              </w:rPr>
            </w:pPr>
            <w:r w:rsidRPr="00312485">
              <w:rPr>
                <w:rFonts w:eastAsia="Calibri"/>
                <w:bCs/>
                <w:i/>
                <w:color w:val="000000"/>
                <w:sz w:val="14"/>
                <w:szCs w:val="14"/>
                <w:lang w:val="ro-MD"/>
              </w:rPr>
              <w:t>28</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56AB9E60"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Cs/>
                <w:i/>
                <w:color w:val="000000"/>
                <w:sz w:val="14"/>
                <w:szCs w:val="14"/>
                <w:lang w:val="ro-MD"/>
              </w:rPr>
              <w:t>20</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10E7B227"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Cs/>
                <w:i/>
                <w:color w:val="000000"/>
                <w:sz w:val="14"/>
                <w:szCs w:val="14"/>
                <w:lang w:val="ro-MD"/>
              </w:rPr>
              <w:t>19</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23AA3D83"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Cs/>
                <w:i/>
                <w:color w:val="000000"/>
                <w:sz w:val="14"/>
                <w:szCs w:val="14"/>
                <w:lang w:val="ro-MD"/>
              </w:rPr>
              <w:t>14</w:t>
            </w:r>
          </w:p>
        </w:tc>
        <w:tc>
          <w:tcPr>
            <w:tcW w:w="336" w:type="pct"/>
            <w:tcBorders>
              <w:top w:val="single" w:sz="4" w:space="0" w:color="auto"/>
              <w:left w:val="single" w:sz="4" w:space="0" w:color="auto"/>
              <w:bottom w:val="single" w:sz="4" w:space="0" w:color="auto"/>
              <w:right w:val="single" w:sz="4" w:space="0" w:color="auto"/>
            </w:tcBorders>
            <w:noWrap/>
            <w:vAlign w:val="center"/>
          </w:tcPr>
          <w:p w14:paraId="55069F08" w14:textId="77777777" w:rsidR="00B902A4" w:rsidRPr="00312485" w:rsidRDefault="00B902A4" w:rsidP="00B154B9">
            <w:pPr>
              <w:ind w:firstLine="0"/>
              <w:jc w:val="center"/>
              <w:rPr>
                <w:rFonts w:eastAsia="Calibri"/>
                <w:b/>
                <w:bCs/>
                <w:color w:val="000000"/>
                <w:sz w:val="14"/>
                <w:szCs w:val="14"/>
                <w:lang w:val="ro-MD"/>
              </w:rPr>
            </w:pPr>
          </w:p>
        </w:tc>
        <w:tc>
          <w:tcPr>
            <w:tcW w:w="402" w:type="pct"/>
            <w:gridSpan w:val="3"/>
            <w:tcBorders>
              <w:top w:val="single" w:sz="4" w:space="0" w:color="auto"/>
              <w:left w:val="single" w:sz="4" w:space="0" w:color="auto"/>
              <w:bottom w:val="single" w:sz="4" w:space="0" w:color="auto"/>
              <w:right w:val="single" w:sz="4" w:space="0" w:color="auto"/>
            </w:tcBorders>
          </w:tcPr>
          <w:p w14:paraId="7A0FEAF1" w14:textId="77777777" w:rsidR="00B902A4" w:rsidRPr="00312485" w:rsidRDefault="00B902A4" w:rsidP="00B154B9">
            <w:pPr>
              <w:ind w:firstLine="0"/>
              <w:jc w:val="center"/>
              <w:rPr>
                <w:rFonts w:eastAsia="Calibri"/>
                <w:b/>
                <w:bCs/>
                <w:color w:val="000000"/>
                <w:sz w:val="14"/>
                <w:szCs w:val="14"/>
                <w:lang w:val="ro-MD"/>
              </w:rPr>
            </w:pPr>
          </w:p>
        </w:tc>
        <w:tc>
          <w:tcPr>
            <w:tcW w:w="418" w:type="pct"/>
            <w:gridSpan w:val="5"/>
            <w:tcBorders>
              <w:top w:val="single" w:sz="4" w:space="0" w:color="auto"/>
              <w:left w:val="single" w:sz="4" w:space="0" w:color="auto"/>
              <w:bottom w:val="single" w:sz="4" w:space="0" w:color="auto"/>
              <w:right w:val="single" w:sz="4" w:space="0" w:color="auto"/>
            </w:tcBorders>
            <w:noWrap/>
            <w:vAlign w:val="center"/>
          </w:tcPr>
          <w:p w14:paraId="4FB5151D" w14:textId="77777777" w:rsidR="00B902A4" w:rsidRPr="00312485" w:rsidRDefault="00B902A4" w:rsidP="00B154B9">
            <w:pPr>
              <w:ind w:firstLine="0"/>
              <w:jc w:val="center"/>
              <w:rPr>
                <w:rFonts w:eastAsia="Calibri"/>
                <w:b/>
                <w:bCs/>
                <w:color w:val="000000"/>
                <w:sz w:val="14"/>
                <w:szCs w:val="14"/>
                <w:lang w:val="ro-MD"/>
              </w:rPr>
            </w:pPr>
          </w:p>
        </w:tc>
        <w:tc>
          <w:tcPr>
            <w:tcW w:w="418" w:type="pct"/>
            <w:gridSpan w:val="5"/>
            <w:tcBorders>
              <w:top w:val="single" w:sz="4" w:space="0" w:color="auto"/>
              <w:left w:val="single" w:sz="4" w:space="0" w:color="auto"/>
              <w:bottom w:val="single" w:sz="4" w:space="0" w:color="auto"/>
              <w:right w:val="single" w:sz="4" w:space="0" w:color="auto"/>
            </w:tcBorders>
            <w:noWrap/>
            <w:vAlign w:val="center"/>
          </w:tcPr>
          <w:p w14:paraId="70F7D339" w14:textId="77777777" w:rsidR="00B902A4" w:rsidRPr="00312485" w:rsidRDefault="00B902A4" w:rsidP="00B154B9">
            <w:pPr>
              <w:ind w:firstLine="0"/>
              <w:jc w:val="center"/>
              <w:rPr>
                <w:rFonts w:eastAsia="Calibri"/>
                <w:b/>
                <w:bCs/>
                <w:color w:val="000000"/>
                <w:sz w:val="14"/>
                <w:szCs w:val="14"/>
                <w:lang w:val="ro-MD"/>
              </w:rPr>
            </w:pPr>
          </w:p>
        </w:tc>
        <w:tc>
          <w:tcPr>
            <w:tcW w:w="419" w:type="pct"/>
            <w:gridSpan w:val="3"/>
            <w:tcBorders>
              <w:top w:val="single" w:sz="4" w:space="0" w:color="auto"/>
              <w:left w:val="single" w:sz="4" w:space="0" w:color="auto"/>
              <w:bottom w:val="single" w:sz="4" w:space="0" w:color="auto"/>
              <w:right w:val="single" w:sz="4" w:space="0" w:color="auto"/>
            </w:tcBorders>
            <w:noWrap/>
            <w:vAlign w:val="center"/>
          </w:tcPr>
          <w:p w14:paraId="6E6F1BCE" w14:textId="77777777" w:rsidR="00B902A4" w:rsidRPr="00312485" w:rsidRDefault="00B902A4" w:rsidP="00B154B9">
            <w:pPr>
              <w:ind w:firstLine="0"/>
              <w:jc w:val="center"/>
              <w:rPr>
                <w:rFonts w:eastAsia="Calibri"/>
                <w:b/>
                <w:bCs/>
                <w:color w:val="000000"/>
                <w:sz w:val="14"/>
                <w:szCs w:val="14"/>
                <w:lang w:val="ro-MD"/>
              </w:rPr>
            </w:pPr>
          </w:p>
        </w:tc>
      </w:tr>
      <w:tr w:rsidR="00D24B28" w:rsidRPr="00312485" w14:paraId="4BB4261B"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1F74B135" w14:textId="77777777" w:rsidR="00B902A4" w:rsidRPr="00312485" w:rsidRDefault="00B902A4" w:rsidP="00B154B9">
            <w:pPr>
              <w:ind w:firstLine="0"/>
              <w:jc w:val="left"/>
              <w:rPr>
                <w:b/>
                <w:bCs/>
                <w:color w:val="000000"/>
                <w:sz w:val="14"/>
                <w:szCs w:val="14"/>
                <w:lang w:val="ro-MD"/>
              </w:rPr>
            </w:pPr>
            <w:r w:rsidRPr="00312485">
              <w:rPr>
                <w:rFonts w:eastAsia="Calibri"/>
                <w:b/>
                <w:bCs/>
                <w:color w:val="000000"/>
                <w:sz w:val="14"/>
                <w:szCs w:val="14"/>
                <w:lang w:val="ro-MD"/>
              </w:rPr>
              <w:t>Bugetele locale</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5ABF08F5"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29 193</w:t>
            </w:r>
          </w:p>
        </w:tc>
        <w:tc>
          <w:tcPr>
            <w:tcW w:w="419" w:type="pct"/>
            <w:tcBorders>
              <w:top w:val="single" w:sz="4" w:space="0" w:color="auto"/>
              <w:left w:val="single" w:sz="4" w:space="0" w:color="auto"/>
              <w:bottom w:val="single" w:sz="4" w:space="0" w:color="auto"/>
              <w:right w:val="single" w:sz="4" w:space="0" w:color="auto"/>
            </w:tcBorders>
            <w:vAlign w:val="center"/>
          </w:tcPr>
          <w:p w14:paraId="6DC77C83"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29 510</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1900A1CE"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31 228</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84C2B2F"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32 576</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2D2191A0"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34 065</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7BDC8202"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8,4%</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55749397"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8,4%</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744EF446"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8,2%</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13FE1B44"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7,9%</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1668C0AB"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7,7%</w:t>
            </w:r>
          </w:p>
        </w:tc>
      </w:tr>
      <w:tr w:rsidR="00D24B28" w:rsidRPr="00312485" w14:paraId="54A2DD9C"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3AC70FFF" w14:textId="77777777" w:rsidR="00B902A4" w:rsidRPr="00312485" w:rsidRDefault="00B902A4" w:rsidP="00B154B9">
            <w:pPr>
              <w:ind w:firstLine="0"/>
              <w:jc w:val="right"/>
              <w:rPr>
                <w:i/>
                <w:iCs/>
                <w:color w:val="000000"/>
                <w:sz w:val="14"/>
                <w:szCs w:val="14"/>
                <w:lang w:val="ro-MD"/>
              </w:rPr>
            </w:pPr>
            <w:r w:rsidRPr="00312485">
              <w:rPr>
                <w:rFonts w:eastAsia="Calibri"/>
                <w:i/>
                <w:iCs/>
                <w:color w:val="000000"/>
                <w:sz w:val="14"/>
                <w:szCs w:val="14"/>
                <w:lang w:val="ro-MD"/>
              </w:rPr>
              <w:t>inclusiv transferuri</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01BD87AD" w14:textId="14D9FE9E"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20</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094</w:t>
            </w:r>
          </w:p>
        </w:tc>
        <w:tc>
          <w:tcPr>
            <w:tcW w:w="419" w:type="pct"/>
            <w:tcBorders>
              <w:top w:val="single" w:sz="4" w:space="0" w:color="auto"/>
              <w:left w:val="single" w:sz="4" w:space="0" w:color="auto"/>
              <w:bottom w:val="single" w:sz="4" w:space="0" w:color="auto"/>
              <w:right w:val="single" w:sz="4" w:space="0" w:color="auto"/>
            </w:tcBorders>
            <w:vAlign w:val="center"/>
          </w:tcPr>
          <w:p w14:paraId="5F0AA9C0" w14:textId="13531C6D"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20</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411</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371F038B" w14:textId="262DD996"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21</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173</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3BD7BF57" w14:textId="3DCD65CE"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21</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560</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5ED45042" w14:textId="70AE440E"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22</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004</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1217E426"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5,8%</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3998360F"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bCs/>
                <w:color w:val="000000"/>
                <w:sz w:val="14"/>
                <w:szCs w:val="14"/>
                <w:lang w:val="ro-MD"/>
              </w:rPr>
              <w:t>5,8%</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1F5EB664"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5,6%</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0F87E51C"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5,2%</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6B6D2149"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5,0%</w:t>
            </w:r>
          </w:p>
        </w:tc>
      </w:tr>
      <w:tr w:rsidR="00D24B28" w:rsidRPr="00312485" w14:paraId="386243DD"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7026D9A2" w14:textId="77777777" w:rsidR="00B902A4" w:rsidRPr="00312485" w:rsidRDefault="00B902A4" w:rsidP="00B154B9">
            <w:pPr>
              <w:ind w:firstLine="0"/>
              <w:jc w:val="left"/>
              <w:rPr>
                <w:b/>
                <w:bCs/>
                <w:color w:val="000000"/>
                <w:sz w:val="14"/>
                <w:szCs w:val="14"/>
                <w:lang w:val="ro-MD"/>
              </w:rPr>
            </w:pPr>
            <w:r w:rsidRPr="00312485">
              <w:rPr>
                <w:rFonts w:eastAsia="Calibri"/>
                <w:b/>
                <w:bCs/>
                <w:color w:val="000000"/>
                <w:sz w:val="14"/>
                <w:szCs w:val="14"/>
                <w:lang w:val="ro-MD"/>
              </w:rPr>
              <w:t>BASS</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1D780C9F" w14:textId="3CB03FEF"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46</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514</w:t>
            </w:r>
          </w:p>
        </w:tc>
        <w:tc>
          <w:tcPr>
            <w:tcW w:w="419" w:type="pct"/>
            <w:tcBorders>
              <w:top w:val="single" w:sz="4" w:space="0" w:color="auto"/>
              <w:left w:val="single" w:sz="4" w:space="0" w:color="auto"/>
              <w:bottom w:val="single" w:sz="4" w:space="0" w:color="auto"/>
              <w:right w:val="single" w:sz="4" w:space="0" w:color="auto"/>
            </w:tcBorders>
            <w:vAlign w:val="center"/>
          </w:tcPr>
          <w:p w14:paraId="2188F17A" w14:textId="59B867A4"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48</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485</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1DA49443" w14:textId="6A81B931"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50</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926</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DD897FE" w14:textId="7505D239"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54</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443</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094BDA52" w14:textId="2AE6CE82" w:rsidR="00B902A4" w:rsidRPr="00312485" w:rsidRDefault="00EE3AAB"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 xml:space="preserve">58 </w:t>
            </w:r>
            <w:r w:rsidR="00B902A4" w:rsidRPr="00312485">
              <w:rPr>
                <w:rFonts w:eastAsia="Calibri"/>
                <w:b/>
                <w:bCs/>
                <w:color w:val="000000"/>
                <w:sz w:val="14"/>
                <w:szCs w:val="14"/>
                <w:lang w:val="ro-MD"/>
              </w:rPr>
              <w:t>772</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3E03369C"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13,4%</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1C52C8B4"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13,8%</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2EEA668D"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13,4%</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716CFBCC"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13,2%</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7D04B35F"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13,3%</w:t>
            </w:r>
          </w:p>
        </w:tc>
      </w:tr>
      <w:tr w:rsidR="00D24B28" w:rsidRPr="00312485" w14:paraId="2F5287CD"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1C128636" w14:textId="77777777" w:rsidR="00B902A4" w:rsidRPr="00312485" w:rsidRDefault="00B902A4" w:rsidP="00B154B9">
            <w:pPr>
              <w:ind w:firstLine="0"/>
              <w:jc w:val="right"/>
              <w:rPr>
                <w:i/>
                <w:iCs/>
                <w:color w:val="000000"/>
                <w:sz w:val="14"/>
                <w:szCs w:val="14"/>
                <w:lang w:val="ro-MD"/>
              </w:rPr>
            </w:pPr>
            <w:r w:rsidRPr="00312485">
              <w:rPr>
                <w:rFonts w:eastAsia="Calibri"/>
                <w:i/>
                <w:iCs/>
                <w:color w:val="000000"/>
                <w:sz w:val="14"/>
                <w:szCs w:val="14"/>
                <w:lang w:val="ro-MD"/>
              </w:rPr>
              <w:t>inclusiv transferuri</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0DB39079" w14:textId="61138BC0"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17</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949</w:t>
            </w:r>
          </w:p>
        </w:tc>
        <w:tc>
          <w:tcPr>
            <w:tcW w:w="419" w:type="pct"/>
            <w:tcBorders>
              <w:top w:val="single" w:sz="4" w:space="0" w:color="auto"/>
              <w:left w:val="single" w:sz="4" w:space="0" w:color="auto"/>
              <w:bottom w:val="single" w:sz="4" w:space="0" w:color="auto"/>
              <w:right w:val="single" w:sz="4" w:space="0" w:color="auto"/>
            </w:tcBorders>
            <w:vAlign w:val="center"/>
          </w:tcPr>
          <w:p w14:paraId="3CBA370B" w14:textId="79485F5F"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19</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698</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4EDE669B" w14:textId="3DB67F26"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19</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026</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5131855" w14:textId="25CEB563"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19</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417</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08994E6C" w14:textId="1C854B54"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20</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313</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7C623B08"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5,2%</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5F7F8BC7"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bCs/>
                <w:color w:val="000000"/>
                <w:sz w:val="14"/>
                <w:szCs w:val="14"/>
                <w:lang w:val="ro-MD"/>
              </w:rPr>
              <w:t>5,6%</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3B224475"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5,0%</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2CA91D50"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4,7%</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6ED6539C"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4,6%</w:t>
            </w:r>
          </w:p>
        </w:tc>
      </w:tr>
      <w:tr w:rsidR="00D24B28" w:rsidRPr="00312485" w14:paraId="5BE309E2"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tcPr>
          <w:p w14:paraId="3DD0F19A" w14:textId="77777777" w:rsidR="00B902A4" w:rsidRPr="00312485" w:rsidRDefault="00B902A4" w:rsidP="00B154B9">
            <w:pPr>
              <w:ind w:firstLine="0"/>
              <w:jc w:val="right"/>
              <w:rPr>
                <w:rFonts w:ascii="Calibri" w:eastAsia="Calibri" w:hAnsi="Calibri"/>
                <w:i/>
                <w:iCs/>
                <w:color w:val="000000"/>
                <w:sz w:val="14"/>
                <w:szCs w:val="16"/>
                <w:lang w:val="ro-MD"/>
              </w:rPr>
            </w:pPr>
            <w:r w:rsidRPr="00312485">
              <w:rPr>
                <w:rFonts w:ascii="Calibri" w:eastAsia="Calibri" w:hAnsi="Calibri"/>
                <w:i/>
                <w:iCs/>
                <w:color w:val="000000"/>
                <w:sz w:val="14"/>
                <w:szCs w:val="16"/>
                <w:lang w:val="ro-MD"/>
              </w:rPr>
              <w:t xml:space="preserve">dintre care pentru acoperirea </w:t>
            </w:r>
          </w:p>
          <w:p w14:paraId="13D1668F" w14:textId="77777777" w:rsidR="00B902A4" w:rsidRPr="00312485" w:rsidRDefault="00B902A4" w:rsidP="00B154B9">
            <w:pPr>
              <w:ind w:firstLine="0"/>
              <w:jc w:val="right"/>
              <w:rPr>
                <w:rFonts w:eastAsia="Calibri"/>
                <w:i/>
                <w:iCs/>
                <w:color w:val="000000"/>
                <w:sz w:val="14"/>
                <w:szCs w:val="14"/>
                <w:lang w:val="ro-MD"/>
              </w:rPr>
            </w:pPr>
            <w:r w:rsidRPr="00312485">
              <w:rPr>
                <w:rFonts w:ascii="Calibri" w:eastAsia="Calibri" w:hAnsi="Calibri"/>
                <w:i/>
                <w:iCs/>
                <w:color w:val="000000"/>
                <w:sz w:val="14"/>
                <w:szCs w:val="16"/>
                <w:lang w:val="ro-MD"/>
              </w:rPr>
              <w:t>deficitului BASS</w:t>
            </w:r>
          </w:p>
        </w:tc>
        <w:tc>
          <w:tcPr>
            <w:tcW w:w="397" w:type="pct"/>
            <w:tcBorders>
              <w:top w:val="single" w:sz="4" w:space="0" w:color="auto"/>
              <w:left w:val="single" w:sz="4" w:space="0" w:color="auto"/>
              <w:bottom w:val="single" w:sz="4" w:space="0" w:color="auto"/>
              <w:right w:val="single" w:sz="4" w:space="0" w:color="auto"/>
            </w:tcBorders>
            <w:noWrap/>
            <w:vAlign w:val="center"/>
          </w:tcPr>
          <w:p w14:paraId="6358259C" w14:textId="39F51598"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4</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195</w:t>
            </w:r>
          </w:p>
        </w:tc>
        <w:tc>
          <w:tcPr>
            <w:tcW w:w="419" w:type="pct"/>
            <w:tcBorders>
              <w:top w:val="single" w:sz="4" w:space="0" w:color="auto"/>
              <w:left w:val="single" w:sz="4" w:space="0" w:color="auto"/>
              <w:bottom w:val="single" w:sz="4" w:space="0" w:color="auto"/>
              <w:right w:val="single" w:sz="4" w:space="0" w:color="auto"/>
            </w:tcBorders>
            <w:vAlign w:val="center"/>
          </w:tcPr>
          <w:p w14:paraId="47A7AB36" w14:textId="6A7BFD47"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4</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195</w:t>
            </w:r>
          </w:p>
        </w:tc>
        <w:tc>
          <w:tcPr>
            <w:tcW w:w="445" w:type="pct"/>
            <w:tcBorders>
              <w:top w:val="single" w:sz="4" w:space="0" w:color="auto"/>
              <w:left w:val="single" w:sz="4" w:space="0" w:color="auto"/>
              <w:bottom w:val="single" w:sz="4" w:space="0" w:color="auto"/>
              <w:right w:val="single" w:sz="4" w:space="0" w:color="auto"/>
            </w:tcBorders>
            <w:noWrap/>
            <w:vAlign w:val="center"/>
          </w:tcPr>
          <w:p w14:paraId="066012C8" w14:textId="37C6D22B"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3</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835</w:t>
            </w:r>
          </w:p>
        </w:tc>
        <w:tc>
          <w:tcPr>
            <w:tcW w:w="417" w:type="pct"/>
            <w:tcBorders>
              <w:top w:val="single" w:sz="4" w:space="0" w:color="auto"/>
              <w:left w:val="single" w:sz="4" w:space="0" w:color="auto"/>
              <w:bottom w:val="single" w:sz="4" w:space="0" w:color="auto"/>
              <w:right w:val="single" w:sz="4" w:space="0" w:color="auto"/>
            </w:tcBorders>
            <w:noWrap/>
            <w:vAlign w:val="center"/>
          </w:tcPr>
          <w:p w14:paraId="2EBD462B" w14:textId="0D7237B7"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3</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200</w:t>
            </w:r>
          </w:p>
        </w:tc>
        <w:tc>
          <w:tcPr>
            <w:tcW w:w="370" w:type="pct"/>
            <w:tcBorders>
              <w:top w:val="single" w:sz="4" w:space="0" w:color="auto"/>
              <w:left w:val="single" w:sz="4" w:space="0" w:color="auto"/>
              <w:bottom w:val="single" w:sz="4" w:space="0" w:color="auto"/>
              <w:right w:val="single" w:sz="4" w:space="0" w:color="auto"/>
            </w:tcBorders>
            <w:noWrap/>
            <w:vAlign w:val="center"/>
          </w:tcPr>
          <w:p w14:paraId="2E39AC59" w14:textId="4ACBF3D1" w:rsidR="00B902A4" w:rsidRPr="00312485" w:rsidRDefault="005538F2" w:rsidP="00EE3AAB">
            <w:pPr>
              <w:ind w:firstLine="0"/>
              <w:jc w:val="center"/>
              <w:rPr>
                <w:rFonts w:eastAsia="Calibri"/>
                <w:i/>
                <w:iCs/>
                <w:color w:val="000000"/>
                <w:sz w:val="14"/>
                <w:szCs w:val="14"/>
                <w:lang w:val="ro-MD"/>
              </w:rPr>
            </w:pPr>
            <w:r>
              <w:rPr>
                <w:rFonts w:eastAsia="Calibri"/>
                <w:i/>
                <w:iCs/>
                <w:color w:val="000000"/>
                <w:sz w:val="14"/>
                <w:szCs w:val="14"/>
                <w:lang w:val="ro-MD"/>
              </w:rPr>
              <w:t>2 436</w:t>
            </w:r>
          </w:p>
        </w:tc>
        <w:tc>
          <w:tcPr>
            <w:tcW w:w="336" w:type="pct"/>
            <w:tcBorders>
              <w:top w:val="single" w:sz="4" w:space="0" w:color="auto"/>
              <w:left w:val="single" w:sz="4" w:space="0" w:color="auto"/>
              <w:bottom w:val="single" w:sz="4" w:space="0" w:color="auto"/>
              <w:right w:val="single" w:sz="4" w:space="0" w:color="auto"/>
            </w:tcBorders>
            <w:noWrap/>
            <w:vAlign w:val="center"/>
          </w:tcPr>
          <w:p w14:paraId="7595AC2B"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1,2%</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09FAE5A9"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bCs/>
                <w:color w:val="000000"/>
                <w:sz w:val="14"/>
                <w:szCs w:val="14"/>
                <w:lang w:val="ro-MD"/>
              </w:rPr>
              <w:t>1,2%</w:t>
            </w:r>
          </w:p>
        </w:tc>
        <w:tc>
          <w:tcPr>
            <w:tcW w:w="418" w:type="pct"/>
            <w:gridSpan w:val="5"/>
            <w:tcBorders>
              <w:top w:val="single" w:sz="4" w:space="0" w:color="auto"/>
              <w:left w:val="single" w:sz="4" w:space="0" w:color="auto"/>
              <w:bottom w:val="single" w:sz="4" w:space="0" w:color="auto"/>
              <w:right w:val="single" w:sz="4" w:space="0" w:color="auto"/>
            </w:tcBorders>
            <w:noWrap/>
            <w:vAlign w:val="center"/>
          </w:tcPr>
          <w:p w14:paraId="79493791"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1,0%</w:t>
            </w:r>
          </w:p>
        </w:tc>
        <w:tc>
          <w:tcPr>
            <w:tcW w:w="418" w:type="pct"/>
            <w:gridSpan w:val="5"/>
            <w:tcBorders>
              <w:top w:val="single" w:sz="4" w:space="0" w:color="auto"/>
              <w:left w:val="single" w:sz="4" w:space="0" w:color="auto"/>
              <w:bottom w:val="single" w:sz="4" w:space="0" w:color="auto"/>
              <w:right w:val="single" w:sz="4" w:space="0" w:color="auto"/>
            </w:tcBorders>
            <w:noWrap/>
            <w:vAlign w:val="center"/>
          </w:tcPr>
          <w:p w14:paraId="08E5B834"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0,8%</w:t>
            </w:r>
          </w:p>
        </w:tc>
        <w:tc>
          <w:tcPr>
            <w:tcW w:w="419" w:type="pct"/>
            <w:gridSpan w:val="3"/>
            <w:tcBorders>
              <w:top w:val="single" w:sz="4" w:space="0" w:color="auto"/>
              <w:left w:val="single" w:sz="4" w:space="0" w:color="auto"/>
              <w:bottom w:val="single" w:sz="4" w:space="0" w:color="auto"/>
              <w:right w:val="single" w:sz="4" w:space="0" w:color="auto"/>
            </w:tcBorders>
            <w:noWrap/>
            <w:vAlign w:val="center"/>
          </w:tcPr>
          <w:p w14:paraId="6FD8668C" w14:textId="53E68CFD" w:rsidR="00B902A4" w:rsidRPr="00312485" w:rsidRDefault="00B902A4" w:rsidP="00F63A85">
            <w:pPr>
              <w:ind w:firstLine="0"/>
              <w:jc w:val="center"/>
              <w:rPr>
                <w:rFonts w:eastAsia="Calibri"/>
                <w:i/>
                <w:iCs/>
                <w:color w:val="000000"/>
                <w:sz w:val="14"/>
                <w:szCs w:val="14"/>
                <w:lang w:val="ro-MD"/>
              </w:rPr>
            </w:pPr>
            <w:r w:rsidRPr="00312485">
              <w:rPr>
                <w:rFonts w:eastAsia="Calibri"/>
                <w:i/>
                <w:iCs/>
                <w:color w:val="000000"/>
                <w:sz w:val="14"/>
                <w:szCs w:val="14"/>
                <w:lang w:val="ro-MD"/>
              </w:rPr>
              <w:t>0,</w:t>
            </w:r>
            <w:r w:rsidR="00F63A85">
              <w:rPr>
                <w:rFonts w:eastAsia="Calibri"/>
                <w:i/>
                <w:iCs/>
                <w:color w:val="000000"/>
                <w:sz w:val="14"/>
                <w:szCs w:val="14"/>
                <w:lang w:val="ro-MD"/>
              </w:rPr>
              <w:t>6</w:t>
            </w:r>
            <w:r w:rsidRPr="00312485">
              <w:rPr>
                <w:rFonts w:eastAsia="Calibri"/>
                <w:i/>
                <w:iCs/>
                <w:color w:val="000000"/>
                <w:sz w:val="14"/>
                <w:szCs w:val="14"/>
                <w:lang w:val="ro-MD"/>
              </w:rPr>
              <w:t>%</w:t>
            </w:r>
          </w:p>
        </w:tc>
      </w:tr>
      <w:tr w:rsidR="00D24B28" w:rsidRPr="00312485" w14:paraId="4BF1BCFF" w14:textId="77777777" w:rsidTr="00D06832">
        <w:trPr>
          <w:gridAfter w:val="1"/>
          <w:wAfter w:w="4" w:type="pct"/>
          <w:trHeight w:val="251"/>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39B52EED" w14:textId="27FC9884" w:rsidR="00B902A4" w:rsidRPr="00312485" w:rsidRDefault="00B902A4" w:rsidP="00B154B9">
            <w:pPr>
              <w:ind w:firstLine="0"/>
              <w:jc w:val="left"/>
              <w:rPr>
                <w:rFonts w:eastAsia="Calibri"/>
                <w:b/>
                <w:bCs/>
                <w:color w:val="000000"/>
                <w:sz w:val="14"/>
                <w:szCs w:val="14"/>
                <w:lang w:val="ro-MD"/>
              </w:rPr>
            </w:pPr>
            <w:r w:rsidRPr="00312485">
              <w:rPr>
                <w:rFonts w:eastAsia="Calibri"/>
                <w:b/>
                <w:bCs/>
                <w:color w:val="000000"/>
                <w:sz w:val="14"/>
                <w:szCs w:val="14"/>
                <w:lang w:val="ro-MD"/>
              </w:rPr>
              <w:t>FAOAM</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76D60639" w14:textId="5B85C9DF" w:rsidR="00B902A4" w:rsidRPr="00312485" w:rsidRDefault="00B902A4" w:rsidP="00EE3AAB">
            <w:pPr>
              <w:ind w:firstLine="0"/>
              <w:jc w:val="center"/>
              <w:rPr>
                <w:b/>
                <w:bCs/>
                <w:color w:val="000000"/>
                <w:sz w:val="14"/>
                <w:szCs w:val="14"/>
                <w:lang w:val="ro-MD"/>
              </w:rPr>
            </w:pPr>
            <w:r w:rsidRPr="00312485">
              <w:rPr>
                <w:rFonts w:eastAsia="Calibri"/>
                <w:b/>
                <w:bCs/>
                <w:color w:val="000000"/>
                <w:sz w:val="14"/>
                <w:szCs w:val="14"/>
                <w:lang w:val="ro-MD"/>
              </w:rPr>
              <w:t>17</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392</w:t>
            </w:r>
          </w:p>
        </w:tc>
        <w:tc>
          <w:tcPr>
            <w:tcW w:w="419" w:type="pct"/>
            <w:tcBorders>
              <w:top w:val="single" w:sz="4" w:space="0" w:color="auto"/>
              <w:left w:val="single" w:sz="4" w:space="0" w:color="auto"/>
              <w:bottom w:val="single" w:sz="4" w:space="0" w:color="auto"/>
              <w:right w:val="single" w:sz="4" w:space="0" w:color="auto"/>
            </w:tcBorders>
            <w:vAlign w:val="center"/>
          </w:tcPr>
          <w:p w14:paraId="0BB9A788" w14:textId="0525869E"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17</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591</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6C5CB264" w14:textId="171A700B"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18</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977</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3B34AA0D" w14:textId="0D560F24" w:rsidR="00B902A4" w:rsidRPr="00312485" w:rsidRDefault="00B902A4"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20</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361</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6E6C9B26" w14:textId="47C24499" w:rsidR="00B902A4" w:rsidRPr="00312485" w:rsidRDefault="00B902A4" w:rsidP="009D427E">
            <w:pPr>
              <w:ind w:firstLine="0"/>
              <w:jc w:val="center"/>
              <w:rPr>
                <w:rFonts w:eastAsia="Calibri"/>
                <w:b/>
                <w:bCs/>
                <w:color w:val="000000"/>
                <w:sz w:val="14"/>
                <w:szCs w:val="14"/>
                <w:lang w:val="ro-MD"/>
              </w:rPr>
            </w:pPr>
            <w:r w:rsidRPr="00312485">
              <w:rPr>
                <w:rFonts w:eastAsia="Calibri"/>
                <w:b/>
                <w:bCs/>
                <w:color w:val="000000"/>
                <w:sz w:val="14"/>
                <w:szCs w:val="14"/>
                <w:lang w:val="ro-MD"/>
              </w:rPr>
              <w:t>21 798</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5788E642"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39F649B8"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3876E638" w14:textId="2516B9D0"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446ACC08" w14:textId="77777777" w:rsidR="00B902A4" w:rsidRPr="00312485" w:rsidRDefault="00B902A4"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4,9%</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50223901" w14:textId="6C52B6BD" w:rsidR="00B902A4" w:rsidRPr="00312485" w:rsidRDefault="00B902A4" w:rsidP="009D427E">
            <w:pPr>
              <w:ind w:firstLine="0"/>
              <w:jc w:val="center"/>
              <w:rPr>
                <w:rFonts w:eastAsia="Calibri"/>
                <w:b/>
                <w:bCs/>
                <w:color w:val="000000"/>
                <w:sz w:val="14"/>
                <w:szCs w:val="14"/>
                <w:lang w:val="ro-MD"/>
              </w:rPr>
            </w:pPr>
            <w:r w:rsidRPr="00312485">
              <w:rPr>
                <w:rFonts w:eastAsia="Calibri"/>
                <w:b/>
                <w:bCs/>
                <w:color w:val="000000"/>
                <w:sz w:val="14"/>
                <w:szCs w:val="14"/>
                <w:lang w:val="ro-MD"/>
              </w:rPr>
              <w:t>4,9%</w:t>
            </w:r>
          </w:p>
        </w:tc>
      </w:tr>
      <w:tr w:rsidR="00D24B28" w:rsidRPr="00312485" w14:paraId="3AF6EF8F" w14:textId="77777777" w:rsidTr="00D06832">
        <w:trPr>
          <w:gridAfter w:val="1"/>
          <w:wAfter w:w="4" w:type="pct"/>
          <w:trHeight w:val="238"/>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6BCA3B54" w14:textId="77777777" w:rsidR="00B902A4" w:rsidRPr="00312485" w:rsidRDefault="00B902A4" w:rsidP="00B154B9">
            <w:pPr>
              <w:ind w:firstLine="0"/>
              <w:jc w:val="right"/>
              <w:rPr>
                <w:i/>
                <w:iCs/>
                <w:color w:val="000000"/>
                <w:sz w:val="14"/>
                <w:szCs w:val="14"/>
                <w:lang w:val="ro-MD"/>
              </w:rPr>
            </w:pPr>
            <w:r w:rsidRPr="00312485">
              <w:rPr>
                <w:rFonts w:eastAsia="Calibri"/>
                <w:i/>
                <w:iCs/>
                <w:color w:val="000000"/>
                <w:sz w:val="14"/>
                <w:szCs w:val="14"/>
                <w:lang w:val="ro-MD"/>
              </w:rPr>
              <w:t>inclusiv transferuri</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4852FAB4" w14:textId="738AEAA5"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7</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328</w:t>
            </w:r>
          </w:p>
        </w:tc>
        <w:tc>
          <w:tcPr>
            <w:tcW w:w="419" w:type="pct"/>
            <w:tcBorders>
              <w:top w:val="single" w:sz="4" w:space="0" w:color="auto"/>
              <w:left w:val="single" w:sz="4" w:space="0" w:color="auto"/>
              <w:bottom w:val="single" w:sz="4" w:space="0" w:color="auto"/>
              <w:right w:val="single" w:sz="4" w:space="0" w:color="auto"/>
            </w:tcBorders>
            <w:vAlign w:val="center"/>
          </w:tcPr>
          <w:p w14:paraId="3268A887" w14:textId="7C1CFB1F"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7</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328</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7416146A" w14:textId="4AA8EB21"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7</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887</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0E1A0A64" w14:textId="485C890D" w:rsidR="00B902A4" w:rsidRPr="00312485" w:rsidRDefault="00B902A4" w:rsidP="00EE3AAB">
            <w:pPr>
              <w:ind w:firstLine="0"/>
              <w:jc w:val="center"/>
              <w:rPr>
                <w:rFonts w:eastAsia="Calibri"/>
                <w:i/>
                <w:iCs/>
                <w:color w:val="000000"/>
                <w:sz w:val="14"/>
                <w:szCs w:val="14"/>
                <w:lang w:val="ro-MD"/>
              </w:rPr>
            </w:pPr>
            <w:r w:rsidRPr="00312485">
              <w:rPr>
                <w:rFonts w:eastAsia="Calibri"/>
                <w:i/>
                <w:iCs/>
                <w:color w:val="000000"/>
                <w:sz w:val="14"/>
                <w:szCs w:val="14"/>
                <w:lang w:val="ro-MD"/>
              </w:rPr>
              <w:t>8</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257</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180D56C0" w14:textId="42B52CC5" w:rsidR="00B902A4" w:rsidRPr="00312485" w:rsidRDefault="00B902A4" w:rsidP="00EE3AAB">
            <w:pPr>
              <w:ind w:right="-111" w:firstLine="0"/>
              <w:jc w:val="center"/>
              <w:rPr>
                <w:rFonts w:eastAsia="Calibri"/>
                <w:i/>
                <w:iCs/>
                <w:color w:val="000000"/>
                <w:sz w:val="14"/>
                <w:szCs w:val="14"/>
                <w:lang w:val="ro-MD"/>
              </w:rPr>
            </w:pPr>
            <w:r w:rsidRPr="00312485">
              <w:rPr>
                <w:rFonts w:eastAsia="Calibri"/>
                <w:i/>
                <w:iCs/>
                <w:color w:val="000000"/>
                <w:sz w:val="14"/>
                <w:szCs w:val="14"/>
                <w:lang w:val="ro-MD"/>
              </w:rPr>
              <w:t>8</w:t>
            </w:r>
            <w:r w:rsidR="00EE3AAB" w:rsidRPr="00312485">
              <w:rPr>
                <w:rFonts w:eastAsia="Calibri"/>
                <w:i/>
                <w:iCs/>
                <w:color w:val="000000"/>
                <w:sz w:val="14"/>
                <w:szCs w:val="14"/>
                <w:lang w:val="ro-MD"/>
              </w:rPr>
              <w:t xml:space="preserve"> </w:t>
            </w:r>
            <w:r w:rsidRPr="00312485">
              <w:rPr>
                <w:rFonts w:eastAsia="Calibri"/>
                <w:i/>
                <w:iCs/>
                <w:color w:val="000000"/>
                <w:sz w:val="14"/>
                <w:szCs w:val="14"/>
                <w:lang w:val="ro-MD"/>
              </w:rPr>
              <w:t>672</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52C5D4F9"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2,1%</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0A882A67"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bCs/>
                <w:color w:val="000000"/>
                <w:sz w:val="14"/>
                <w:szCs w:val="14"/>
                <w:lang w:val="ro-MD"/>
              </w:rPr>
              <w:t>2,1%</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24CF7202"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2,1%</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4555803B"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2,0%</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7C25388A" w14:textId="77777777" w:rsidR="00B902A4" w:rsidRPr="00312485" w:rsidRDefault="00B902A4"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2,0%</w:t>
            </w:r>
          </w:p>
        </w:tc>
      </w:tr>
      <w:tr w:rsidR="00004597" w:rsidRPr="00312485" w14:paraId="42F2E044" w14:textId="77777777" w:rsidTr="00C9533B">
        <w:trPr>
          <w:trHeight w:val="128"/>
        </w:trPr>
        <w:tc>
          <w:tcPr>
            <w:tcW w:w="5000" w:type="pct"/>
            <w:gridSpan w:val="25"/>
            <w:tcBorders>
              <w:top w:val="single" w:sz="4" w:space="0" w:color="auto"/>
              <w:left w:val="single" w:sz="4" w:space="0" w:color="auto"/>
              <w:bottom w:val="single" w:sz="4" w:space="0" w:color="auto"/>
              <w:right w:val="single" w:sz="4" w:space="0" w:color="auto"/>
            </w:tcBorders>
            <w:noWrap/>
            <w:vAlign w:val="center"/>
            <w:hideMark/>
          </w:tcPr>
          <w:p w14:paraId="1DDD0418" w14:textId="4A45E51C" w:rsidR="00004597" w:rsidRPr="00312485" w:rsidRDefault="00004597" w:rsidP="00B154B9">
            <w:pPr>
              <w:ind w:firstLine="0"/>
              <w:jc w:val="left"/>
              <w:rPr>
                <w:rFonts w:eastAsia="Calibri"/>
                <w:sz w:val="14"/>
                <w:szCs w:val="14"/>
                <w:lang w:val="ro-MD" w:eastAsia="en-GB"/>
              </w:rPr>
            </w:pPr>
            <w:r w:rsidRPr="00312485">
              <w:rPr>
                <w:rFonts w:eastAsia="Calibri"/>
                <w:b/>
                <w:bCs/>
                <w:color w:val="000000"/>
                <w:sz w:val="14"/>
                <w:szCs w:val="14"/>
                <w:lang w:val="ro-MD"/>
              </w:rPr>
              <w:t> </w:t>
            </w:r>
          </w:p>
        </w:tc>
      </w:tr>
      <w:tr w:rsidR="00D24B28" w:rsidRPr="00312485" w14:paraId="227390B2" w14:textId="77777777" w:rsidTr="00D06832">
        <w:trPr>
          <w:gridAfter w:val="1"/>
          <w:wAfter w:w="4" w:type="pct"/>
          <w:trHeight w:val="377"/>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7A92587B"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6"/>
                <w:szCs w:val="14"/>
                <w:lang w:val="ro-MD"/>
              </w:rPr>
              <w:t>Total cheltuieli BPN</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5B596756" w14:textId="1E880AD8" w:rsidR="00530F82" w:rsidRPr="00312485" w:rsidRDefault="00530F82"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133</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347</w:t>
            </w:r>
          </w:p>
        </w:tc>
        <w:tc>
          <w:tcPr>
            <w:tcW w:w="419" w:type="pct"/>
            <w:tcBorders>
              <w:top w:val="single" w:sz="4" w:space="0" w:color="auto"/>
              <w:left w:val="single" w:sz="4" w:space="0" w:color="auto"/>
              <w:bottom w:val="single" w:sz="4" w:space="0" w:color="auto"/>
              <w:right w:val="single" w:sz="4" w:space="0" w:color="auto"/>
            </w:tcBorders>
            <w:vAlign w:val="center"/>
          </w:tcPr>
          <w:p w14:paraId="0FDE2370" w14:textId="0445A55B" w:rsidR="00530F82" w:rsidRPr="00312485" w:rsidRDefault="00530F82"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142</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158</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58024751" w14:textId="70B128F0" w:rsidR="00530F82" w:rsidRPr="00312485" w:rsidRDefault="00530F82"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152</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418</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6A76E124" w14:textId="32C72D5B"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w:t>
            </w:r>
            <w:r w:rsidR="00EE3AAB" w:rsidRPr="00312485">
              <w:rPr>
                <w:rFonts w:eastAsia="Calibri"/>
                <w:b/>
                <w:bCs/>
                <w:color w:val="000000"/>
                <w:sz w:val="14"/>
                <w:szCs w:val="14"/>
                <w:lang w:val="ro-MD"/>
              </w:rPr>
              <w:t xml:space="preserve">65 </w:t>
            </w:r>
            <w:r w:rsidRPr="00312485">
              <w:rPr>
                <w:rFonts w:eastAsia="Calibri"/>
                <w:b/>
                <w:bCs/>
                <w:color w:val="000000"/>
                <w:sz w:val="14"/>
                <w:szCs w:val="14"/>
                <w:lang w:val="ro-MD"/>
              </w:rPr>
              <w:t>328</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6DA7FF70" w14:textId="7D09327D" w:rsidR="00530F82" w:rsidRPr="00312485" w:rsidRDefault="00530F82" w:rsidP="00EE3AAB">
            <w:pPr>
              <w:ind w:firstLine="0"/>
              <w:jc w:val="center"/>
              <w:rPr>
                <w:rFonts w:eastAsia="Calibri"/>
                <w:b/>
                <w:bCs/>
                <w:color w:val="000000"/>
                <w:sz w:val="14"/>
                <w:szCs w:val="14"/>
                <w:lang w:val="ro-MD"/>
              </w:rPr>
            </w:pPr>
            <w:r w:rsidRPr="00312485">
              <w:rPr>
                <w:rFonts w:eastAsia="Calibri"/>
                <w:b/>
                <w:bCs/>
                <w:color w:val="000000"/>
                <w:sz w:val="14"/>
                <w:szCs w:val="14"/>
                <w:lang w:val="ro-MD"/>
              </w:rPr>
              <w:t>174</w:t>
            </w:r>
            <w:r w:rsidR="00EE3AAB" w:rsidRPr="00312485">
              <w:rPr>
                <w:rFonts w:eastAsia="Calibri"/>
                <w:b/>
                <w:bCs/>
                <w:color w:val="000000"/>
                <w:sz w:val="14"/>
                <w:szCs w:val="14"/>
                <w:lang w:val="ro-MD"/>
              </w:rPr>
              <w:t xml:space="preserve"> </w:t>
            </w:r>
            <w:r w:rsidRPr="00312485">
              <w:rPr>
                <w:rFonts w:eastAsia="Calibri"/>
                <w:b/>
                <w:bCs/>
                <w:color w:val="000000"/>
                <w:sz w:val="14"/>
                <w:szCs w:val="14"/>
                <w:lang w:val="ro-MD"/>
              </w:rPr>
              <w:t>390</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60FF51F7"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38,3%</w:t>
            </w:r>
          </w:p>
        </w:tc>
        <w:tc>
          <w:tcPr>
            <w:tcW w:w="402" w:type="pct"/>
            <w:gridSpan w:val="3"/>
            <w:tcBorders>
              <w:top w:val="single" w:sz="4" w:space="0" w:color="auto"/>
              <w:left w:val="single" w:sz="4" w:space="0" w:color="auto"/>
              <w:bottom w:val="single" w:sz="4" w:space="0" w:color="auto"/>
              <w:right w:val="single" w:sz="4" w:space="0" w:color="auto"/>
            </w:tcBorders>
            <w:vAlign w:val="center"/>
          </w:tcPr>
          <w:p w14:paraId="3DF84852"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40,5%</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78FB5896"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40,1%</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5D827AC9"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40,2%</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71AD5A71"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39,6%</w:t>
            </w:r>
          </w:p>
        </w:tc>
      </w:tr>
      <w:tr w:rsidR="00C9533B" w:rsidRPr="00312485" w14:paraId="099C31C5" w14:textId="77777777" w:rsidTr="00D06832">
        <w:trPr>
          <w:gridAfter w:val="1"/>
          <w:wAfter w:w="4" w:type="pct"/>
          <w:trHeight w:val="251"/>
        </w:trPr>
        <w:tc>
          <w:tcPr>
            <w:tcW w:w="118" w:type="pct"/>
            <w:tcBorders>
              <w:top w:val="single" w:sz="4" w:space="0" w:color="auto"/>
              <w:left w:val="single" w:sz="4" w:space="0" w:color="auto"/>
              <w:bottom w:val="single" w:sz="4" w:space="0" w:color="auto"/>
            </w:tcBorders>
            <w:noWrap/>
            <w:vAlign w:val="center"/>
            <w:hideMark/>
          </w:tcPr>
          <w:p w14:paraId="4682C904" w14:textId="77777777" w:rsidR="00530F82" w:rsidRPr="00312485" w:rsidRDefault="00530F82" w:rsidP="00B154B9">
            <w:pPr>
              <w:ind w:firstLine="0"/>
              <w:jc w:val="left"/>
              <w:rPr>
                <w:rFonts w:eastAsia="Calibri"/>
                <w:b/>
                <w:b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22667BD1"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Bugetul de stat</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50A8C0D7" w14:textId="1464B268"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85</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448</w:t>
            </w:r>
          </w:p>
        </w:tc>
        <w:tc>
          <w:tcPr>
            <w:tcW w:w="419" w:type="pct"/>
            <w:tcBorders>
              <w:top w:val="single" w:sz="4" w:space="0" w:color="auto"/>
              <w:left w:val="single" w:sz="4" w:space="0" w:color="auto"/>
              <w:bottom w:val="single" w:sz="4" w:space="0" w:color="auto"/>
              <w:right w:val="single" w:sz="4" w:space="0" w:color="auto"/>
            </w:tcBorders>
            <w:vAlign w:val="center"/>
          </w:tcPr>
          <w:p w14:paraId="74FACF9E" w14:textId="7DE19BB2"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93</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839</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54FBE698" w14:textId="54A1FF44"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99</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153</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5ECA3B58" w14:textId="32E2F24B"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106</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907</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0F538EEA" w14:textId="7F31B51D"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110</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658</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139E68B9"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24,5%</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3F244026"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26,7%</w:t>
            </w:r>
          </w:p>
        </w:tc>
        <w:tc>
          <w:tcPr>
            <w:tcW w:w="417" w:type="pct"/>
            <w:gridSpan w:val="5"/>
            <w:tcBorders>
              <w:top w:val="single" w:sz="4" w:space="0" w:color="auto"/>
              <w:left w:val="single" w:sz="4" w:space="0" w:color="auto"/>
              <w:bottom w:val="single" w:sz="4" w:space="0" w:color="auto"/>
              <w:right w:val="single" w:sz="4" w:space="0" w:color="auto"/>
            </w:tcBorders>
            <w:noWrap/>
            <w:vAlign w:val="center"/>
            <w:hideMark/>
          </w:tcPr>
          <w:p w14:paraId="6CBDBB75"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26,1%</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45CD668C"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26,0%</w:t>
            </w:r>
          </w:p>
        </w:tc>
        <w:tc>
          <w:tcPr>
            <w:tcW w:w="414" w:type="pct"/>
            <w:gridSpan w:val="2"/>
            <w:tcBorders>
              <w:top w:val="single" w:sz="4" w:space="0" w:color="auto"/>
              <w:left w:val="single" w:sz="4" w:space="0" w:color="auto"/>
              <w:bottom w:val="single" w:sz="4" w:space="0" w:color="auto"/>
              <w:right w:val="single" w:sz="4" w:space="0" w:color="auto"/>
            </w:tcBorders>
            <w:noWrap/>
            <w:vAlign w:val="center"/>
            <w:hideMark/>
          </w:tcPr>
          <w:p w14:paraId="73E3EA30"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25,1%</w:t>
            </w:r>
          </w:p>
        </w:tc>
      </w:tr>
      <w:tr w:rsidR="00C9533B" w:rsidRPr="00312485" w14:paraId="0093E7D6" w14:textId="77777777" w:rsidTr="00D06832">
        <w:trPr>
          <w:gridAfter w:val="1"/>
          <w:wAfter w:w="4" w:type="pct"/>
          <w:trHeight w:val="251"/>
        </w:trPr>
        <w:tc>
          <w:tcPr>
            <w:tcW w:w="118" w:type="pct"/>
            <w:tcBorders>
              <w:top w:val="single" w:sz="4" w:space="0" w:color="auto"/>
              <w:left w:val="single" w:sz="4" w:space="0" w:color="auto"/>
              <w:bottom w:val="single" w:sz="4" w:space="0" w:color="auto"/>
            </w:tcBorders>
            <w:noWrap/>
            <w:vAlign w:val="center"/>
            <w:hideMark/>
          </w:tcPr>
          <w:p w14:paraId="482E0FA2" w14:textId="77777777" w:rsidR="00530F82" w:rsidRPr="00312485" w:rsidRDefault="00530F82" w:rsidP="00B154B9">
            <w:pPr>
              <w:ind w:firstLine="0"/>
              <w:jc w:val="left"/>
              <w:rPr>
                <w:rFonts w:eastAsia="Calibri"/>
                <w:b/>
                <w:b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2A1A951E" w14:textId="77777777" w:rsidR="00530F82" w:rsidRPr="00312485" w:rsidRDefault="00530F82" w:rsidP="00B154B9">
            <w:pPr>
              <w:ind w:firstLine="0"/>
              <w:jc w:val="right"/>
              <w:rPr>
                <w:i/>
                <w:iCs/>
                <w:color w:val="000000"/>
                <w:sz w:val="14"/>
                <w:szCs w:val="14"/>
                <w:lang w:val="ro-MD"/>
              </w:rPr>
            </w:pPr>
            <w:r w:rsidRPr="00312485">
              <w:rPr>
                <w:rFonts w:eastAsia="Calibri"/>
                <w:i/>
                <w:iCs/>
                <w:color w:val="000000"/>
                <w:sz w:val="14"/>
                <w:szCs w:val="14"/>
                <w:lang w:val="ro-MD"/>
              </w:rPr>
              <w:t>inclusiv transferuri</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58D75C84" w14:textId="6893777C" w:rsidR="00530F82" w:rsidRPr="00312485" w:rsidRDefault="00530F82" w:rsidP="00D70921">
            <w:pPr>
              <w:ind w:firstLine="0"/>
              <w:jc w:val="center"/>
              <w:rPr>
                <w:rFonts w:eastAsia="Calibri"/>
                <w:i/>
                <w:iCs/>
                <w:color w:val="000000"/>
                <w:sz w:val="14"/>
                <w:szCs w:val="14"/>
                <w:lang w:val="ro-MD"/>
              </w:rPr>
            </w:pPr>
            <w:r w:rsidRPr="00312485">
              <w:rPr>
                <w:rFonts w:eastAsia="Calibri"/>
                <w:i/>
                <w:iCs/>
                <w:color w:val="000000"/>
                <w:sz w:val="14"/>
                <w:szCs w:val="14"/>
                <w:lang w:val="ro-MD"/>
              </w:rPr>
              <w:t>45</w:t>
            </w:r>
            <w:r w:rsidR="00D70921" w:rsidRPr="00312485">
              <w:rPr>
                <w:rFonts w:eastAsia="Calibri"/>
                <w:i/>
                <w:iCs/>
                <w:color w:val="000000"/>
                <w:sz w:val="14"/>
                <w:szCs w:val="14"/>
                <w:lang w:val="ro-MD"/>
              </w:rPr>
              <w:t xml:space="preserve"> </w:t>
            </w:r>
            <w:r w:rsidRPr="00312485">
              <w:rPr>
                <w:rFonts w:eastAsia="Calibri"/>
                <w:i/>
                <w:iCs/>
                <w:color w:val="000000"/>
                <w:sz w:val="14"/>
                <w:szCs w:val="14"/>
                <w:lang w:val="ro-MD"/>
              </w:rPr>
              <w:t>371</w:t>
            </w:r>
          </w:p>
        </w:tc>
        <w:tc>
          <w:tcPr>
            <w:tcW w:w="419" w:type="pct"/>
            <w:tcBorders>
              <w:top w:val="single" w:sz="4" w:space="0" w:color="auto"/>
              <w:left w:val="single" w:sz="4" w:space="0" w:color="auto"/>
              <w:bottom w:val="single" w:sz="4" w:space="0" w:color="auto"/>
              <w:right w:val="single" w:sz="4" w:space="0" w:color="auto"/>
            </w:tcBorders>
            <w:vAlign w:val="center"/>
          </w:tcPr>
          <w:p w14:paraId="59050BC5" w14:textId="561E6519" w:rsidR="00530F82" w:rsidRPr="00312485" w:rsidRDefault="00530F82" w:rsidP="00D70921">
            <w:pPr>
              <w:ind w:firstLine="0"/>
              <w:jc w:val="center"/>
              <w:rPr>
                <w:rFonts w:eastAsia="Calibri"/>
                <w:i/>
                <w:iCs/>
                <w:color w:val="000000"/>
                <w:sz w:val="14"/>
                <w:szCs w:val="14"/>
                <w:lang w:val="ro-MD"/>
              </w:rPr>
            </w:pPr>
            <w:r w:rsidRPr="00312485">
              <w:rPr>
                <w:rFonts w:eastAsia="Calibri"/>
                <w:i/>
                <w:iCs/>
                <w:color w:val="000000"/>
                <w:sz w:val="14"/>
                <w:szCs w:val="14"/>
                <w:lang w:val="ro-MD"/>
              </w:rPr>
              <w:t>47</w:t>
            </w:r>
            <w:r w:rsidR="00D70921" w:rsidRPr="00312485">
              <w:rPr>
                <w:rFonts w:eastAsia="Calibri"/>
                <w:i/>
                <w:iCs/>
                <w:color w:val="000000"/>
                <w:sz w:val="14"/>
                <w:szCs w:val="14"/>
                <w:lang w:val="ro-MD"/>
              </w:rPr>
              <w:t xml:space="preserve"> </w:t>
            </w:r>
            <w:r w:rsidRPr="00312485">
              <w:rPr>
                <w:rFonts w:eastAsia="Calibri"/>
                <w:i/>
                <w:iCs/>
                <w:color w:val="000000"/>
                <w:sz w:val="14"/>
                <w:szCs w:val="14"/>
                <w:lang w:val="ro-MD"/>
              </w:rPr>
              <w:t>437</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31A159E9" w14:textId="3CB44B4C" w:rsidR="00530F82" w:rsidRPr="00312485" w:rsidRDefault="00530F82" w:rsidP="00D70921">
            <w:pPr>
              <w:ind w:firstLine="0"/>
              <w:jc w:val="center"/>
              <w:rPr>
                <w:rFonts w:eastAsia="Calibri"/>
                <w:i/>
                <w:iCs/>
                <w:color w:val="000000"/>
                <w:sz w:val="14"/>
                <w:szCs w:val="14"/>
                <w:lang w:val="ro-MD"/>
              </w:rPr>
            </w:pPr>
            <w:r w:rsidRPr="00312485">
              <w:rPr>
                <w:rFonts w:eastAsia="Calibri"/>
                <w:i/>
                <w:iCs/>
                <w:color w:val="000000"/>
                <w:sz w:val="14"/>
                <w:szCs w:val="14"/>
                <w:lang w:val="ro-MD"/>
              </w:rPr>
              <w:t>48</w:t>
            </w:r>
            <w:r w:rsidR="00D70921" w:rsidRPr="00312485">
              <w:rPr>
                <w:rFonts w:eastAsia="Calibri"/>
                <w:i/>
                <w:iCs/>
                <w:color w:val="000000"/>
                <w:sz w:val="14"/>
                <w:szCs w:val="14"/>
                <w:lang w:val="ro-MD"/>
              </w:rPr>
              <w:t xml:space="preserve"> </w:t>
            </w:r>
            <w:r w:rsidRPr="00312485">
              <w:rPr>
                <w:rFonts w:eastAsia="Calibri"/>
                <w:i/>
                <w:iCs/>
                <w:color w:val="000000"/>
                <w:sz w:val="14"/>
                <w:szCs w:val="14"/>
                <w:lang w:val="ro-MD"/>
              </w:rPr>
              <w:t>086</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16031537" w14:textId="1C2BAA21" w:rsidR="00530F82" w:rsidRPr="00312485" w:rsidRDefault="00530F82"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4</w:t>
            </w:r>
            <w:r w:rsidR="00D70921" w:rsidRPr="00312485">
              <w:rPr>
                <w:rFonts w:eastAsia="Calibri"/>
                <w:i/>
                <w:iCs/>
                <w:color w:val="000000"/>
                <w:sz w:val="14"/>
                <w:szCs w:val="14"/>
                <w:lang w:val="ro-MD"/>
              </w:rPr>
              <w:t xml:space="preserve">9 </w:t>
            </w:r>
            <w:r w:rsidRPr="00312485">
              <w:rPr>
                <w:rFonts w:eastAsia="Calibri"/>
                <w:i/>
                <w:iCs/>
                <w:color w:val="000000"/>
                <w:sz w:val="14"/>
                <w:szCs w:val="14"/>
                <w:lang w:val="ro-MD"/>
              </w:rPr>
              <w:t>234</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0F51A318" w14:textId="402EBE31" w:rsidR="00530F82" w:rsidRPr="00312485" w:rsidRDefault="00530F82" w:rsidP="00D70921">
            <w:pPr>
              <w:ind w:firstLine="0"/>
              <w:jc w:val="center"/>
              <w:rPr>
                <w:rFonts w:eastAsia="Calibri"/>
                <w:i/>
                <w:iCs/>
                <w:color w:val="000000"/>
                <w:sz w:val="14"/>
                <w:szCs w:val="14"/>
                <w:lang w:val="ro-MD"/>
              </w:rPr>
            </w:pPr>
            <w:r w:rsidRPr="00312485">
              <w:rPr>
                <w:rFonts w:eastAsia="Calibri"/>
                <w:i/>
                <w:iCs/>
                <w:color w:val="000000"/>
                <w:sz w:val="14"/>
                <w:szCs w:val="14"/>
                <w:lang w:val="ro-MD"/>
              </w:rPr>
              <w:t>50</w:t>
            </w:r>
            <w:r w:rsidR="00D70921" w:rsidRPr="00312485">
              <w:rPr>
                <w:rFonts w:eastAsia="Calibri"/>
                <w:i/>
                <w:iCs/>
                <w:color w:val="000000"/>
                <w:sz w:val="14"/>
                <w:szCs w:val="14"/>
                <w:lang w:val="ro-MD"/>
              </w:rPr>
              <w:t xml:space="preserve"> </w:t>
            </w:r>
            <w:r w:rsidRPr="00312485">
              <w:rPr>
                <w:rFonts w:eastAsia="Calibri"/>
                <w:i/>
                <w:iCs/>
                <w:color w:val="000000"/>
                <w:sz w:val="14"/>
                <w:szCs w:val="14"/>
                <w:lang w:val="ro-MD"/>
              </w:rPr>
              <w:t>990</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49EA8777" w14:textId="77777777" w:rsidR="00530F82" w:rsidRPr="00312485" w:rsidRDefault="00530F82"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13,0%</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455BBF77" w14:textId="77777777" w:rsidR="00530F82" w:rsidRPr="00312485" w:rsidRDefault="00530F82" w:rsidP="00B154B9">
            <w:pPr>
              <w:ind w:firstLine="0"/>
              <w:jc w:val="center"/>
              <w:rPr>
                <w:rFonts w:eastAsia="Calibri"/>
                <w:i/>
                <w:iCs/>
                <w:color w:val="000000"/>
                <w:sz w:val="14"/>
                <w:szCs w:val="14"/>
                <w:lang w:val="ro-MD"/>
              </w:rPr>
            </w:pPr>
            <w:r w:rsidRPr="00312485">
              <w:rPr>
                <w:rFonts w:eastAsia="Calibri"/>
                <w:bCs/>
                <w:color w:val="000000"/>
                <w:sz w:val="14"/>
                <w:szCs w:val="14"/>
                <w:lang w:val="ro-MD"/>
              </w:rPr>
              <w:t>13,5%</w:t>
            </w:r>
          </w:p>
        </w:tc>
        <w:tc>
          <w:tcPr>
            <w:tcW w:w="417" w:type="pct"/>
            <w:gridSpan w:val="5"/>
            <w:tcBorders>
              <w:top w:val="single" w:sz="4" w:space="0" w:color="auto"/>
              <w:left w:val="single" w:sz="4" w:space="0" w:color="auto"/>
              <w:bottom w:val="single" w:sz="4" w:space="0" w:color="auto"/>
              <w:right w:val="single" w:sz="4" w:space="0" w:color="auto"/>
            </w:tcBorders>
            <w:noWrap/>
            <w:vAlign w:val="center"/>
            <w:hideMark/>
          </w:tcPr>
          <w:p w14:paraId="6BCD0CE6" w14:textId="77777777" w:rsidR="00530F82" w:rsidRPr="00312485" w:rsidRDefault="00530F82"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12,6%</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3474B723" w14:textId="77777777" w:rsidR="00530F82" w:rsidRPr="00312485" w:rsidRDefault="00530F82"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12,0%</w:t>
            </w:r>
          </w:p>
        </w:tc>
        <w:tc>
          <w:tcPr>
            <w:tcW w:w="414" w:type="pct"/>
            <w:gridSpan w:val="2"/>
            <w:tcBorders>
              <w:top w:val="single" w:sz="4" w:space="0" w:color="auto"/>
              <w:left w:val="single" w:sz="4" w:space="0" w:color="auto"/>
              <w:bottom w:val="single" w:sz="4" w:space="0" w:color="auto"/>
              <w:right w:val="single" w:sz="4" w:space="0" w:color="auto"/>
            </w:tcBorders>
            <w:noWrap/>
            <w:vAlign w:val="center"/>
            <w:hideMark/>
          </w:tcPr>
          <w:p w14:paraId="7CA27C9F" w14:textId="77777777" w:rsidR="00530F82" w:rsidRPr="00312485" w:rsidRDefault="00530F82" w:rsidP="00B154B9">
            <w:pPr>
              <w:ind w:firstLine="0"/>
              <w:jc w:val="center"/>
              <w:rPr>
                <w:rFonts w:eastAsia="Calibri"/>
                <w:i/>
                <w:iCs/>
                <w:color w:val="000000"/>
                <w:sz w:val="14"/>
                <w:szCs w:val="14"/>
                <w:lang w:val="ro-MD"/>
              </w:rPr>
            </w:pPr>
            <w:r w:rsidRPr="00312485">
              <w:rPr>
                <w:rFonts w:eastAsia="Calibri"/>
                <w:i/>
                <w:iCs/>
                <w:color w:val="000000"/>
                <w:sz w:val="14"/>
                <w:szCs w:val="14"/>
                <w:lang w:val="ro-MD"/>
              </w:rPr>
              <w:t>11,6%</w:t>
            </w:r>
          </w:p>
        </w:tc>
      </w:tr>
      <w:tr w:rsidR="00C9533B" w:rsidRPr="00312485" w14:paraId="5B2E1EF8" w14:textId="77777777" w:rsidTr="00D06832">
        <w:trPr>
          <w:gridAfter w:val="1"/>
          <w:wAfter w:w="4" w:type="pct"/>
          <w:trHeight w:val="251"/>
        </w:trPr>
        <w:tc>
          <w:tcPr>
            <w:tcW w:w="118" w:type="pct"/>
            <w:tcBorders>
              <w:top w:val="single" w:sz="4" w:space="0" w:color="auto"/>
              <w:left w:val="single" w:sz="4" w:space="0" w:color="auto"/>
              <w:bottom w:val="single" w:sz="4" w:space="0" w:color="auto"/>
            </w:tcBorders>
            <w:noWrap/>
            <w:vAlign w:val="center"/>
            <w:hideMark/>
          </w:tcPr>
          <w:p w14:paraId="4531AAD3" w14:textId="77777777" w:rsidR="00530F82" w:rsidRPr="00312485" w:rsidRDefault="00530F82" w:rsidP="00B154B9">
            <w:pPr>
              <w:ind w:firstLine="0"/>
              <w:jc w:val="left"/>
              <w:rPr>
                <w:rFonts w:eastAsia="Calibri"/>
                <w:i/>
                <w:i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1D732F55"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Bugetele locale</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66EB842D" w14:textId="3F7F374B" w:rsidR="00530F82" w:rsidRPr="00312485" w:rsidRDefault="00530F82" w:rsidP="00743EB0">
            <w:pPr>
              <w:ind w:firstLine="0"/>
              <w:jc w:val="center"/>
              <w:rPr>
                <w:rFonts w:eastAsia="Calibri"/>
                <w:b/>
                <w:bCs/>
                <w:color w:val="000000"/>
                <w:sz w:val="14"/>
                <w:szCs w:val="14"/>
                <w:lang w:val="ro-MD"/>
              </w:rPr>
            </w:pPr>
            <w:r w:rsidRPr="00312485">
              <w:rPr>
                <w:rFonts w:eastAsia="Calibri"/>
                <w:b/>
                <w:bCs/>
                <w:color w:val="000000"/>
                <w:sz w:val="14"/>
                <w:szCs w:val="14"/>
                <w:lang w:val="ro-MD"/>
              </w:rPr>
              <w:t>29</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3</w:t>
            </w:r>
            <w:r w:rsidR="00743EB0" w:rsidRPr="00312485">
              <w:rPr>
                <w:rFonts w:eastAsia="Calibri"/>
                <w:b/>
                <w:bCs/>
                <w:color w:val="000000"/>
                <w:sz w:val="14"/>
                <w:szCs w:val="14"/>
                <w:lang w:val="ro-MD"/>
              </w:rPr>
              <w:t>93</w:t>
            </w:r>
          </w:p>
        </w:tc>
        <w:tc>
          <w:tcPr>
            <w:tcW w:w="419" w:type="pct"/>
            <w:tcBorders>
              <w:top w:val="single" w:sz="4" w:space="0" w:color="auto"/>
              <w:left w:val="single" w:sz="4" w:space="0" w:color="auto"/>
              <w:bottom w:val="single" w:sz="4" w:space="0" w:color="auto"/>
              <w:right w:val="single" w:sz="4" w:space="0" w:color="auto"/>
            </w:tcBorders>
            <w:vAlign w:val="center"/>
          </w:tcPr>
          <w:p w14:paraId="743AAA4E" w14:textId="418ABB60"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29</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710</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09A46B20" w14:textId="60BFB73B"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31</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228</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03AE569D" w14:textId="01A511E5"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32</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376</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523D6A0D" w14:textId="275AEEDD"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33</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820</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191A4439"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8,4%</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1FB80DD5"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8,5%</w:t>
            </w:r>
          </w:p>
        </w:tc>
        <w:tc>
          <w:tcPr>
            <w:tcW w:w="417" w:type="pct"/>
            <w:gridSpan w:val="5"/>
            <w:tcBorders>
              <w:top w:val="single" w:sz="4" w:space="0" w:color="auto"/>
              <w:left w:val="single" w:sz="4" w:space="0" w:color="auto"/>
              <w:bottom w:val="single" w:sz="4" w:space="0" w:color="auto"/>
              <w:right w:val="single" w:sz="4" w:space="0" w:color="auto"/>
            </w:tcBorders>
            <w:noWrap/>
            <w:vAlign w:val="center"/>
            <w:hideMark/>
          </w:tcPr>
          <w:p w14:paraId="72F77706"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8,2%</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1A9E086F"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7,9%</w:t>
            </w:r>
          </w:p>
        </w:tc>
        <w:tc>
          <w:tcPr>
            <w:tcW w:w="414" w:type="pct"/>
            <w:gridSpan w:val="2"/>
            <w:tcBorders>
              <w:top w:val="single" w:sz="4" w:space="0" w:color="auto"/>
              <w:left w:val="single" w:sz="4" w:space="0" w:color="auto"/>
              <w:bottom w:val="single" w:sz="4" w:space="0" w:color="auto"/>
              <w:right w:val="single" w:sz="4" w:space="0" w:color="auto"/>
            </w:tcBorders>
            <w:noWrap/>
            <w:vAlign w:val="center"/>
            <w:hideMark/>
          </w:tcPr>
          <w:p w14:paraId="3BB6497D"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7,7%</w:t>
            </w:r>
          </w:p>
        </w:tc>
      </w:tr>
      <w:tr w:rsidR="00C9533B" w:rsidRPr="00312485" w14:paraId="6F0CF263" w14:textId="77777777" w:rsidTr="00D06832">
        <w:trPr>
          <w:gridAfter w:val="1"/>
          <w:wAfter w:w="4" w:type="pct"/>
          <w:trHeight w:val="251"/>
        </w:trPr>
        <w:tc>
          <w:tcPr>
            <w:tcW w:w="118" w:type="pct"/>
            <w:tcBorders>
              <w:top w:val="single" w:sz="4" w:space="0" w:color="auto"/>
              <w:left w:val="single" w:sz="4" w:space="0" w:color="auto"/>
              <w:bottom w:val="single" w:sz="4" w:space="0" w:color="auto"/>
            </w:tcBorders>
            <w:noWrap/>
            <w:vAlign w:val="center"/>
            <w:hideMark/>
          </w:tcPr>
          <w:p w14:paraId="1366F2C7" w14:textId="77777777" w:rsidR="00530F82" w:rsidRPr="00312485" w:rsidRDefault="00530F82" w:rsidP="00B154B9">
            <w:pPr>
              <w:ind w:firstLine="0"/>
              <w:jc w:val="left"/>
              <w:rPr>
                <w:rFonts w:eastAsia="Calibri"/>
                <w:b/>
                <w:b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6F7C783C"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BASS</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151D7BA1" w14:textId="3BBAE25B"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46</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514</w:t>
            </w:r>
          </w:p>
        </w:tc>
        <w:tc>
          <w:tcPr>
            <w:tcW w:w="419" w:type="pct"/>
            <w:tcBorders>
              <w:top w:val="single" w:sz="4" w:space="0" w:color="auto"/>
              <w:left w:val="single" w:sz="4" w:space="0" w:color="auto"/>
              <w:bottom w:val="single" w:sz="4" w:space="0" w:color="auto"/>
              <w:right w:val="single" w:sz="4" w:space="0" w:color="auto"/>
            </w:tcBorders>
            <w:vAlign w:val="center"/>
          </w:tcPr>
          <w:p w14:paraId="271C7D45" w14:textId="608617BB"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48</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485</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0AFE993C" w14:textId="7CA4D289"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50</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926</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64494C1D" w14:textId="3FD3C9DF"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54</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443</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6AF9F303" w14:textId="22ED74CE"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w:t>
            </w:r>
            <w:r w:rsidR="003348A5" w:rsidRPr="00312485">
              <w:rPr>
                <w:rFonts w:eastAsia="Calibri"/>
                <w:b/>
                <w:bCs/>
                <w:color w:val="000000"/>
                <w:sz w:val="14"/>
                <w:szCs w:val="14"/>
                <w:lang w:val="ro-MD"/>
              </w:rPr>
              <w:t xml:space="preserve">8 </w:t>
            </w:r>
            <w:r w:rsidRPr="00312485">
              <w:rPr>
                <w:rFonts w:eastAsia="Calibri"/>
                <w:b/>
                <w:bCs/>
                <w:color w:val="000000"/>
                <w:sz w:val="14"/>
                <w:szCs w:val="14"/>
                <w:lang w:val="ro-MD"/>
              </w:rPr>
              <w:t>772</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11ECAB4F"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13,4%</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3F74BADC"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13,8%</w:t>
            </w:r>
          </w:p>
        </w:tc>
        <w:tc>
          <w:tcPr>
            <w:tcW w:w="417" w:type="pct"/>
            <w:gridSpan w:val="5"/>
            <w:tcBorders>
              <w:top w:val="single" w:sz="4" w:space="0" w:color="auto"/>
              <w:left w:val="single" w:sz="4" w:space="0" w:color="auto"/>
              <w:bottom w:val="single" w:sz="4" w:space="0" w:color="auto"/>
              <w:right w:val="single" w:sz="4" w:space="0" w:color="auto"/>
            </w:tcBorders>
            <w:noWrap/>
            <w:vAlign w:val="center"/>
            <w:hideMark/>
          </w:tcPr>
          <w:p w14:paraId="7C31567F"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13,4%</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0BD03868"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13,2%</w:t>
            </w:r>
          </w:p>
        </w:tc>
        <w:tc>
          <w:tcPr>
            <w:tcW w:w="414" w:type="pct"/>
            <w:gridSpan w:val="2"/>
            <w:tcBorders>
              <w:top w:val="single" w:sz="4" w:space="0" w:color="auto"/>
              <w:left w:val="single" w:sz="4" w:space="0" w:color="auto"/>
              <w:bottom w:val="single" w:sz="4" w:space="0" w:color="auto"/>
              <w:right w:val="single" w:sz="4" w:space="0" w:color="auto"/>
            </w:tcBorders>
            <w:noWrap/>
            <w:vAlign w:val="center"/>
            <w:hideMark/>
          </w:tcPr>
          <w:p w14:paraId="4E10A168"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13,3%</w:t>
            </w:r>
          </w:p>
        </w:tc>
      </w:tr>
      <w:tr w:rsidR="00C9533B" w:rsidRPr="00312485" w14:paraId="3FBAB299" w14:textId="77777777" w:rsidTr="00D06832">
        <w:trPr>
          <w:gridAfter w:val="1"/>
          <w:wAfter w:w="4" w:type="pct"/>
          <w:trHeight w:val="74"/>
        </w:trPr>
        <w:tc>
          <w:tcPr>
            <w:tcW w:w="118" w:type="pct"/>
            <w:tcBorders>
              <w:top w:val="single" w:sz="4" w:space="0" w:color="auto"/>
              <w:left w:val="single" w:sz="4" w:space="0" w:color="auto"/>
              <w:bottom w:val="single" w:sz="4" w:space="0" w:color="auto"/>
            </w:tcBorders>
            <w:noWrap/>
            <w:vAlign w:val="center"/>
            <w:hideMark/>
          </w:tcPr>
          <w:p w14:paraId="5EBBB779" w14:textId="77777777" w:rsidR="00530F82" w:rsidRPr="00312485" w:rsidRDefault="00530F82" w:rsidP="00B154B9">
            <w:pPr>
              <w:ind w:firstLine="0"/>
              <w:jc w:val="left"/>
              <w:rPr>
                <w:rFonts w:eastAsia="Calibri"/>
                <w:b/>
                <w:b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627A925E"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FAOAM</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134E1231" w14:textId="2119306A"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17</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392</w:t>
            </w:r>
          </w:p>
        </w:tc>
        <w:tc>
          <w:tcPr>
            <w:tcW w:w="419" w:type="pct"/>
            <w:tcBorders>
              <w:top w:val="single" w:sz="4" w:space="0" w:color="auto"/>
              <w:left w:val="single" w:sz="4" w:space="0" w:color="auto"/>
              <w:bottom w:val="single" w:sz="4" w:space="0" w:color="auto"/>
              <w:right w:val="single" w:sz="4" w:space="0" w:color="auto"/>
            </w:tcBorders>
            <w:vAlign w:val="center"/>
          </w:tcPr>
          <w:p w14:paraId="351CA6D0" w14:textId="6249EA6E" w:rsidR="00530F82" w:rsidRPr="00312485" w:rsidRDefault="00530F82" w:rsidP="00D70921">
            <w:pPr>
              <w:ind w:firstLine="0"/>
              <w:jc w:val="center"/>
              <w:rPr>
                <w:rFonts w:eastAsia="Calibri"/>
                <w:b/>
                <w:bCs/>
                <w:color w:val="000000"/>
                <w:sz w:val="14"/>
                <w:szCs w:val="14"/>
                <w:lang w:val="ro-MD"/>
              </w:rPr>
            </w:pPr>
            <w:r w:rsidRPr="00312485">
              <w:rPr>
                <w:rFonts w:eastAsia="Calibri"/>
                <w:b/>
                <w:bCs/>
                <w:color w:val="000000"/>
                <w:sz w:val="14"/>
                <w:szCs w:val="14"/>
                <w:lang w:val="ro-MD"/>
              </w:rPr>
              <w:t>17</w:t>
            </w:r>
            <w:r w:rsidR="00D70921" w:rsidRPr="00312485">
              <w:rPr>
                <w:rFonts w:eastAsia="Calibri"/>
                <w:b/>
                <w:bCs/>
                <w:color w:val="000000"/>
                <w:sz w:val="14"/>
                <w:szCs w:val="14"/>
                <w:lang w:val="ro-MD"/>
              </w:rPr>
              <w:t xml:space="preserve"> </w:t>
            </w:r>
            <w:r w:rsidRPr="00312485">
              <w:rPr>
                <w:rFonts w:eastAsia="Calibri"/>
                <w:b/>
                <w:bCs/>
                <w:color w:val="000000"/>
                <w:sz w:val="14"/>
                <w:szCs w:val="14"/>
                <w:lang w:val="ro-MD"/>
              </w:rPr>
              <w:t>591</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27383834" w14:textId="015268DB"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19</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217</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32D0F709" w14:textId="3DBA48CC"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20</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855</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15A1ED70" w14:textId="7C1698AD"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22</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143</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001E9B03"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312D73D8"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c>
          <w:tcPr>
            <w:tcW w:w="417" w:type="pct"/>
            <w:gridSpan w:val="5"/>
            <w:tcBorders>
              <w:top w:val="single" w:sz="4" w:space="0" w:color="auto"/>
              <w:left w:val="single" w:sz="4" w:space="0" w:color="auto"/>
              <w:bottom w:val="single" w:sz="4" w:space="0" w:color="auto"/>
              <w:right w:val="single" w:sz="4" w:space="0" w:color="auto"/>
            </w:tcBorders>
            <w:noWrap/>
            <w:vAlign w:val="center"/>
            <w:hideMark/>
          </w:tcPr>
          <w:p w14:paraId="37C1F053"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5,1%</w:t>
            </w:r>
          </w:p>
        </w:tc>
        <w:tc>
          <w:tcPr>
            <w:tcW w:w="418" w:type="pct"/>
            <w:gridSpan w:val="5"/>
            <w:tcBorders>
              <w:top w:val="single" w:sz="4" w:space="0" w:color="auto"/>
              <w:left w:val="single" w:sz="4" w:space="0" w:color="auto"/>
              <w:bottom w:val="single" w:sz="4" w:space="0" w:color="auto"/>
              <w:right w:val="single" w:sz="4" w:space="0" w:color="auto"/>
            </w:tcBorders>
            <w:noWrap/>
            <w:vAlign w:val="center"/>
            <w:hideMark/>
          </w:tcPr>
          <w:p w14:paraId="262D73A0"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5,1%</w:t>
            </w:r>
          </w:p>
        </w:tc>
        <w:tc>
          <w:tcPr>
            <w:tcW w:w="414" w:type="pct"/>
            <w:gridSpan w:val="2"/>
            <w:tcBorders>
              <w:top w:val="single" w:sz="4" w:space="0" w:color="auto"/>
              <w:left w:val="single" w:sz="4" w:space="0" w:color="auto"/>
              <w:bottom w:val="single" w:sz="4" w:space="0" w:color="auto"/>
              <w:right w:val="single" w:sz="4" w:space="0" w:color="auto"/>
            </w:tcBorders>
            <w:noWrap/>
            <w:vAlign w:val="center"/>
            <w:hideMark/>
          </w:tcPr>
          <w:p w14:paraId="38B981F0"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5,0%</w:t>
            </w:r>
          </w:p>
        </w:tc>
      </w:tr>
      <w:tr w:rsidR="005F04ED" w:rsidRPr="00312485" w14:paraId="3B9809BA" w14:textId="77777777" w:rsidTr="00C9533B">
        <w:trPr>
          <w:trHeight w:val="130"/>
        </w:trPr>
        <w:tc>
          <w:tcPr>
            <w:tcW w:w="5000" w:type="pct"/>
            <w:gridSpan w:val="25"/>
            <w:tcBorders>
              <w:top w:val="single" w:sz="4" w:space="0" w:color="auto"/>
              <w:left w:val="single" w:sz="4" w:space="0" w:color="auto"/>
              <w:bottom w:val="single" w:sz="4" w:space="0" w:color="auto"/>
              <w:right w:val="single" w:sz="4" w:space="0" w:color="auto"/>
            </w:tcBorders>
            <w:noWrap/>
            <w:vAlign w:val="center"/>
            <w:hideMark/>
          </w:tcPr>
          <w:p w14:paraId="13799D66" w14:textId="2F36D700" w:rsidR="005F04ED" w:rsidRPr="00312485" w:rsidRDefault="005F04ED" w:rsidP="00B154B9">
            <w:pPr>
              <w:ind w:firstLine="0"/>
              <w:jc w:val="left"/>
              <w:rPr>
                <w:rFonts w:eastAsia="Calibri"/>
                <w:sz w:val="14"/>
                <w:szCs w:val="14"/>
                <w:lang w:val="ro-MD" w:eastAsia="en-GB"/>
              </w:rPr>
            </w:pPr>
            <w:r w:rsidRPr="00312485">
              <w:rPr>
                <w:rFonts w:eastAsia="Calibri"/>
                <w:b/>
                <w:bCs/>
                <w:color w:val="000000"/>
                <w:sz w:val="14"/>
                <w:szCs w:val="14"/>
                <w:lang w:val="ro-MD"/>
              </w:rPr>
              <w:t> </w:t>
            </w:r>
          </w:p>
        </w:tc>
      </w:tr>
      <w:tr w:rsidR="00D24B28" w:rsidRPr="00312485" w14:paraId="5127AE1D" w14:textId="77777777" w:rsidTr="00D06832">
        <w:trPr>
          <w:gridAfter w:val="1"/>
          <w:wAfter w:w="4" w:type="pct"/>
          <w:trHeight w:val="74"/>
        </w:trPr>
        <w:tc>
          <w:tcPr>
            <w:tcW w:w="955" w:type="pct"/>
            <w:gridSpan w:val="2"/>
            <w:tcBorders>
              <w:top w:val="single" w:sz="4" w:space="0" w:color="auto"/>
              <w:left w:val="single" w:sz="4" w:space="0" w:color="auto"/>
              <w:bottom w:val="single" w:sz="4" w:space="0" w:color="auto"/>
              <w:right w:val="single" w:sz="4" w:space="0" w:color="auto"/>
            </w:tcBorders>
            <w:noWrap/>
            <w:vAlign w:val="center"/>
            <w:hideMark/>
          </w:tcPr>
          <w:p w14:paraId="52B9FCD6" w14:textId="77777777" w:rsidR="00530F82" w:rsidRPr="00312485" w:rsidRDefault="00530F82" w:rsidP="00B154B9">
            <w:pPr>
              <w:ind w:firstLine="0"/>
              <w:jc w:val="left"/>
              <w:rPr>
                <w:b/>
                <w:bCs/>
                <w:color w:val="000000"/>
                <w:sz w:val="16"/>
                <w:szCs w:val="14"/>
                <w:lang w:val="ro-MD"/>
              </w:rPr>
            </w:pPr>
            <w:r w:rsidRPr="00312485">
              <w:rPr>
                <w:rFonts w:eastAsia="Calibri"/>
                <w:b/>
                <w:bCs/>
                <w:color w:val="000000"/>
                <w:sz w:val="16"/>
                <w:szCs w:val="14"/>
                <w:lang w:val="ro-MD"/>
              </w:rPr>
              <w:t>Sold total</w:t>
            </w:r>
          </w:p>
          <w:p w14:paraId="44257688" w14:textId="77777777" w:rsidR="00530F82" w:rsidRPr="00312485" w:rsidRDefault="00530F82" w:rsidP="00B154B9">
            <w:pPr>
              <w:ind w:firstLine="0"/>
              <w:jc w:val="left"/>
              <w:rPr>
                <w:rFonts w:eastAsia="Calibri"/>
                <w:b/>
                <w:bCs/>
                <w:color w:val="000000"/>
                <w:sz w:val="14"/>
                <w:szCs w:val="14"/>
                <w:lang w:val="ro-MD"/>
              </w:rPr>
            </w:pPr>
            <w:r w:rsidRPr="00312485">
              <w:rPr>
                <w:rFonts w:eastAsia="Calibri"/>
                <w:b/>
                <w:bCs/>
                <w:color w:val="000000"/>
                <w:sz w:val="14"/>
                <w:szCs w:val="14"/>
                <w:lang w:val="ro-MD"/>
              </w:rPr>
              <w:t xml:space="preserve"> (Deficit (-) / Excedent (+))</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6C41229C" w14:textId="6926F425"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-14</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094</w:t>
            </w:r>
          </w:p>
        </w:tc>
        <w:tc>
          <w:tcPr>
            <w:tcW w:w="419" w:type="pct"/>
            <w:tcBorders>
              <w:top w:val="single" w:sz="4" w:space="0" w:color="auto"/>
              <w:left w:val="single" w:sz="4" w:space="0" w:color="auto"/>
              <w:bottom w:val="single" w:sz="4" w:space="0" w:color="auto"/>
              <w:right w:val="single" w:sz="4" w:space="0" w:color="auto"/>
            </w:tcBorders>
            <w:vAlign w:val="center"/>
          </w:tcPr>
          <w:p w14:paraId="19D9A765" w14:textId="5671126B"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-18</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106</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4DF796BF" w14:textId="77777777" w:rsidR="00530F82" w:rsidRPr="00312485" w:rsidRDefault="00530F82" w:rsidP="00B154B9">
            <w:pPr>
              <w:ind w:firstLine="0"/>
              <w:jc w:val="center"/>
              <w:rPr>
                <w:rFonts w:eastAsia="Calibri"/>
                <w:b/>
                <w:bCs/>
                <w:color w:val="000000"/>
                <w:sz w:val="14"/>
                <w:szCs w:val="14"/>
                <w:lang w:val="ro-MD"/>
              </w:rPr>
            </w:pPr>
            <w:r w:rsidRPr="00312485">
              <w:rPr>
                <w:rFonts w:eastAsia="Calibri"/>
                <w:b/>
                <w:bCs/>
                <w:color w:val="000000"/>
                <w:sz w:val="14"/>
                <w:szCs w:val="14"/>
                <w:lang w:val="ro-MD"/>
              </w:rPr>
              <w:t>-20.514</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2E5EFB0C" w14:textId="3C2B2D70"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-21</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934</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0CD1D726" w14:textId="0744776E" w:rsidR="00530F82" w:rsidRPr="00312485" w:rsidRDefault="00530F82" w:rsidP="003348A5">
            <w:pPr>
              <w:ind w:firstLine="0"/>
              <w:jc w:val="center"/>
              <w:rPr>
                <w:rFonts w:eastAsia="Calibri"/>
                <w:b/>
                <w:bCs/>
                <w:color w:val="000000"/>
                <w:sz w:val="14"/>
                <w:szCs w:val="14"/>
                <w:lang w:val="ro-MD"/>
              </w:rPr>
            </w:pPr>
            <w:r w:rsidRPr="00312485">
              <w:rPr>
                <w:rFonts w:eastAsia="Calibri"/>
                <w:b/>
                <w:bCs/>
                <w:color w:val="000000"/>
                <w:sz w:val="14"/>
                <w:szCs w:val="14"/>
                <w:lang w:val="ro-MD"/>
              </w:rPr>
              <w:t>-18</w:t>
            </w:r>
            <w:r w:rsidR="003348A5" w:rsidRPr="00312485">
              <w:rPr>
                <w:rFonts w:eastAsia="Calibri"/>
                <w:b/>
                <w:bCs/>
                <w:color w:val="000000"/>
                <w:sz w:val="14"/>
                <w:szCs w:val="14"/>
                <w:lang w:val="ro-MD"/>
              </w:rPr>
              <w:t xml:space="preserve"> </w:t>
            </w:r>
            <w:r w:rsidRPr="00312485">
              <w:rPr>
                <w:rFonts w:eastAsia="Calibri"/>
                <w:b/>
                <w:bCs/>
                <w:color w:val="000000"/>
                <w:sz w:val="14"/>
                <w:szCs w:val="14"/>
                <w:lang w:val="ro-MD"/>
              </w:rPr>
              <w:t>584</w:t>
            </w:r>
          </w:p>
        </w:tc>
        <w:tc>
          <w:tcPr>
            <w:tcW w:w="336" w:type="pct"/>
            <w:tcBorders>
              <w:top w:val="single" w:sz="4" w:space="0" w:color="auto"/>
              <w:left w:val="single" w:sz="4" w:space="0" w:color="auto"/>
              <w:bottom w:val="single" w:sz="4" w:space="0" w:color="auto"/>
              <w:right w:val="single" w:sz="4" w:space="0" w:color="auto"/>
            </w:tcBorders>
            <w:noWrap/>
            <w:vAlign w:val="center"/>
            <w:hideMark/>
          </w:tcPr>
          <w:p w14:paraId="693793D6" w14:textId="77777777" w:rsidR="00530F82" w:rsidRPr="00312485" w:rsidRDefault="00530F82" w:rsidP="00B154B9">
            <w:pPr>
              <w:ind w:firstLine="0"/>
              <w:jc w:val="center"/>
              <w:rPr>
                <w:rFonts w:eastAsia="Calibri"/>
                <w:b/>
                <w:bCs/>
                <w:color w:val="000000"/>
                <w:sz w:val="14"/>
                <w:szCs w:val="16"/>
                <w:lang w:val="ro-MD"/>
              </w:rPr>
            </w:pPr>
            <w:r w:rsidRPr="00312485">
              <w:rPr>
                <w:rFonts w:eastAsia="Calibri"/>
                <w:b/>
                <w:bCs/>
                <w:color w:val="000000"/>
                <w:sz w:val="14"/>
                <w:szCs w:val="16"/>
                <w:lang w:val="ro-MD"/>
              </w:rPr>
              <w:t>-4,0%</w:t>
            </w:r>
          </w:p>
        </w:tc>
        <w:tc>
          <w:tcPr>
            <w:tcW w:w="447" w:type="pct"/>
            <w:gridSpan w:val="7"/>
            <w:tcBorders>
              <w:top w:val="single" w:sz="4" w:space="0" w:color="auto"/>
              <w:left w:val="single" w:sz="4" w:space="0" w:color="auto"/>
              <w:bottom w:val="single" w:sz="4" w:space="0" w:color="auto"/>
              <w:right w:val="single" w:sz="4" w:space="0" w:color="auto"/>
            </w:tcBorders>
            <w:vAlign w:val="center"/>
          </w:tcPr>
          <w:p w14:paraId="142F5A14" w14:textId="77777777" w:rsidR="00530F82" w:rsidRPr="00312485" w:rsidRDefault="00530F82" w:rsidP="00B154B9">
            <w:pPr>
              <w:ind w:firstLine="0"/>
              <w:jc w:val="center"/>
              <w:rPr>
                <w:rFonts w:eastAsia="Calibri"/>
                <w:b/>
                <w:bCs/>
                <w:color w:val="000000"/>
                <w:sz w:val="14"/>
                <w:szCs w:val="16"/>
                <w:lang w:val="ro-MD"/>
              </w:rPr>
            </w:pPr>
            <w:r w:rsidRPr="00312485">
              <w:rPr>
                <w:rFonts w:eastAsia="Calibri"/>
                <w:b/>
                <w:bCs/>
                <w:color w:val="000000"/>
                <w:sz w:val="14"/>
                <w:szCs w:val="16"/>
                <w:lang w:val="ro-MD"/>
              </w:rPr>
              <w:t>-5,2%</w:t>
            </w:r>
          </w:p>
        </w:tc>
        <w:tc>
          <w:tcPr>
            <w:tcW w:w="412" w:type="pct"/>
            <w:gridSpan w:val="4"/>
            <w:tcBorders>
              <w:top w:val="single" w:sz="4" w:space="0" w:color="auto"/>
              <w:left w:val="single" w:sz="4" w:space="0" w:color="auto"/>
              <w:bottom w:val="single" w:sz="4" w:space="0" w:color="auto"/>
              <w:right w:val="single" w:sz="4" w:space="0" w:color="auto"/>
            </w:tcBorders>
            <w:noWrap/>
            <w:vAlign w:val="center"/>
            <w:hideMark/>
          </w:tcPr>
          <w:p w14:paraId="779F62DD" w14:textId="77777777" w:rsidR="00530F82" w:rsidRPr="00312485" w:rsidRDefault="00530F82" w:rsidP="00B154B9">
            <w:pPr>
              <w:ind w:firstLine="0"/>
              <w:jc w:val="center"/>
              <w:rPr>
                <w:rFonts w:eastAsia="Calibri"/>
                <w:b/>
                <w:bCs/>
                <w:color w:val="000000"/>
                <w:sz w:val="14"/>
                <w:szCs w:val="16"/>
                <w:lang w:val="ro-MD"/>
              </w:rPr>
            </w:pPr>
            <w:r w:rsidRPr="00312485">
              <w:rPr>
                <w:rFonts w:eastAsia="Calibri"/>
                <w:b/>
                <w:bCs/>
                <w:color w:val="000000"/>
                <w:sz w:val="14"/>
                <w:szCs w:val="16"/>
                <w:lang w:val="ro-MD"/>
              </w:rPr>
              <w:t>-5,4%</w:t>
            </w:r>
          </w:p>
        </w:tc>
        <w:tc>
          <w:tcPr>
            <w:tcW w:w="379" w:type="pct"/>
            <w:gridSpan w:val="2"/>
            <w:tcBorders>
              <w:top w:val="single" w:sz="4" w:space="0" w:color="auto"/>
              <w:left w:val="single" w:sz="4" w:space="0" w:color="auto"/>
              <w:bottom w:val="single" w:sz="4" w:space="0" w:color="auto"/>
              <w:right w:val="single" w:sz="4" w:space="0" w:color="auto"/>
            </w:tcBorders>
            <w:noWrap/>
            <w:vAlign w:val="center"/>
            <w:hideMark/>
          </w:tcPr>
          <w:p w14:paraId="38A0C1EE" w14:textId="77777777" w:rsidR="00530F82" w:rsidRPr="00312485" w:rsidRDefault="00530F82" w:rsidP="00B154B9">
            <w:pPr>
              <w:ind w:firstLine="0"/>
              <w:jc w:val="center"/>
              <w:rPr>
                <w:rFonts w:eastAsia="Calibri"/>
                <w:b/>
                <w:bCs/>
                <w:color w:val="000000"/>
                <w:sz w:val="14"/>
                <w:szCs w:val="16"/>
                <w:lang w:val="ro-MD"/>
              </w:rPr>
            </w:pPr>
            <w:r w:rsidRPr="00312485">
              <w:rPr>
                <w:rFonts w:eastAsia="Calibri"/>
                <w:b/>
                <w:bCs/>
                <w:color w:val="000000"/>
                <w:sz w:val="14"/>
                <w:szCs w:val="16"/>
                <w:lang w:val="ro-MD"/>
              </w:rPr>
              <w:t>-5,3%</w:t>
            </w:r>
          </w:p>
        </w:tc>
        <w:tc>
          <w:tcPr>
            <w:tcW w:w="419" w:type="pct"/>
            <w:gridSpan w:val="3"/>
            <w:tcBorders>
              <w:top w:val="single" w:sz="4" w:space="0" w:color="auto"/>
              <w:left w:val="single" w:sz="4" w:space="0" w:color="auto"/>
              <w:bottom w:val="single" w:sz="4" w:space="0" w:color="auto"/>
              <w:right w:val="single" w:sz="4" w:space="0" w:color="auto"/>
            </w:tcBorders>
            <w:noWrap/>
            <w:vAlign w:val="center"/>
            <w:hideMark/>
          </w:tcPr>
          <w:p w14:paraId="0A3C94DE" w14:textId="77777777" w:rsidR="00530F82" w:rsidRPr="00312485" w:rsidRDefault="00530F82" w:rsidP="00B154B9">
            <w:pPr>
              <w:ind w:firstLine="0"/>
              <w:jc w:val="center"/>
              <w:rPr>
                <w:rFonts w:eastAsia="Calibri"/>
                <w:b/>
                <w:bCs/>
                <w:color w:val="000000"/>
                <w:sz w:val="14"/>
                <w:szCs w:val="16"/>
                <w:lang w:val="ro-MD"/>
              </w:rPr>
            </w:pPr>
            <w:r w:rsidRPr="00312485">
              <w:rPr>
                <w:rFonts w:eastAsia="Calibri"/>
                <w:b/>
                <w:bCs/>
                <w:color w:val="000000"/>
                <w:sz w:val="14"/>
                <w:szCs w:val="16"/>
                <w:lang w:val="ro-MD"/>
              </w:rPr>
              <w:t>-4,2%</w:t>
            </w:r>
          </w:p>
        </w:tc>
      </w:tr>
      <w:tr w:rsidR="00D24B28" w:rsidRPr="00312485" w14:paraId="2899871B" w14:textId="77777777" w:rsidTr="00D06832">
        <w:trPr>
          <w:gridAfter w:val="2"/>
          <w:wAfter w:w="9" w:type="pct"/>
          <w:trHeight w:val="251"/>
        </w:trPr>
        <w:tc>
          <w:tcPr>
            <w:tcW w:w="118" w:type="pct"/>
            <w:tcBorders>
              <w:top w:val="single" w:sz="4" w:space="0" w:color="auto"/>
              <w:left w:val="single" w:sz="4" w:space="0" w:color="auto"/>
              <w:bottom w:val="single" w:sz="4" w:space="0" w:color="auto"/>
            </w:tcBorders>
            <w:noWrap/>
            <w:vAlign w:val="center"/>
            <w:hideMark/>
          </w:tcPr>
          <w:p w14:paraId="7A4F617A" w14:textId="77777777" w:rsidR="00530F82" w:rsidRPr="00312485" w:rsidRDefault="00530F82" w:rsidP="00B154B9">
            <w:pPr>
              <w:ind w:firstLine="0"/>
              <w:jc w:val="left"/>
              <w:rPr>
                <w:rFonts w:eastAsia="Calibri"/>
                <w:b/>
                <w:bCs/>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525B8872" w14:textId="633C1E07" w:rsidR="00530F82" w:rsidRPr="00312485" w:rsidRDefault="00C97AAE" w:rsidP="00B154B9">
            <w:pPr>
              <w:ind w:firstLine="0"/>
              <w:jc w:val="left"/>
              <w:rPr>
                <w:b/>
                <w:bCs/>
                <w:color w:val="000000"/>
                <w:sz w:val="14"/>
                <w:szCs w:val="14"/>
                <w:highlight w:val="yellow"/>
                <w:lang w:val="ro-MD"/>
              </w:rPr>
            </w:pPr>
            <w:r w:rsidRPr="00312485">
              <w:rPr>
                <w:rFonts w:eastAsia="Calibri"/>
                <w:b/>
                <w:color w:val="000000"/>
                <w:sz w:val="16"/>
                <w:szCs w:val="16"/>
                <w:lang w:val="ro-MD"/>
              </w:rPr>
              <w:t>Bugetul de stat</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1C8E5276" w14:textId="2637602C" w:rsidR="00530F82" w:rsidRPr="00312485" w:rsidRDefault="003348A5" w:rsidP="00B154B9">
            <w:pPr>
              <w:ind w:firstLine="0"/>
              <w:jc w:val="center"/>
              <w:rPr>
                <w:rFonts w:eastAsia="Calibri"/>
                <w:color w:val="000000"/>
                <w:sz w:val="14"/>
                <w:szCs w:val="14"/>
                <w:lang w:val="ro-MD"/>
              </w:rPr>
            </w:pPr>
            <w:r w:rsidRPr="00312485">
              <w:rPr>
                <w:rFonts w:eastAsia="Calibri"/>
                <w:color w:val="000000"/>
                <w:sz w:val="14"/>
                <w:szCs w:val="14"/>
                <w:lang w:val="ro-MD"/>
              </w:rPr>
              <w:t xml:space="preserve">-13 </w:t>
            </w:r>
            <w:r w:rsidR="00530F82" w:rsidRPr="00312485">
              <w:rPr>
                <w:rFonts w:eastAsia="Calibri"/>
                <w:color w:val="000000"/>
                <w:sz w:val="14"/>
                <w:szCs w:val="14"/>
                <w:lang w:val="ro-MD"/>
              </w:rPr>
              <w:t>894</w:t>
            </w:r>
          </w:p>
        </w:tc>
        <w:tc>
          <w:tcPr>
            <w:tcW w:w="419" w:type="pct"/>
            <w:tcBorders>
              <w:top w:val="single" w:sz="4" w:space="0" w:color="auto"/>
              <w:left w:val="single" w:sz="4" w:space="0" w:color="auto"/>
              <w:bottom w:val="single" w:sz="4" w:space="0" w:color="auto"/>
              <w:right w:val="single" w:sz="4" w:space="0" w:color="auto"/>
            </w:tcBorders>
            <w:vAlign w:val="center"/>
          </w:tcPr>
          <w:p w14:paraId="1AFE3291" w14:textId="780F7E61" w:rsidR="00530F82" w:rsidRPr="00312485" w:rsidRDefault="00530F82" w:rsidP="003348A5">
            <w:pPr>
              <w:ind w:firstLine="0"/>
              <w:jc w:val="center"/>
              <w:rPr>
                <w:rFonts w:eastAsia="Calibri"/>
                <w:color w:val="000000"/>
                <w:sz w:val="14"/>
                <w:szCs w:val="14"/>
                <w:lang w:val="ro-MD"/>
              </w:rPr>
            </w:pPr>
            <w:r w:rsidRPr="00312485">
              <w:rPr>
                <w:rFonts w:eastAsia="Calibri"/>
                <w:color w:val="000000"/>
                <w:sz w:val="14"/>
                <w:szCs w:val="14"/>
                <w:lang w:val="ro-MD"/>
              </w:rPr>
              <w:t>-17</w:t>
            </w:r>
            <w:r w:rsidR="003348A5" w:rsidRPr="00312485">
              <w:rPr>
                <w:rFonts w:eastAsia="Calibri"/>
                <w:color w:val="000000"/>
                <w:sz w:val="14"/>
                <w:szCs w:val="14"/>
                <w:lang w:val="ro-MD"/>
              </w:rPr>
              <w:t xml:space="preserve"> </w:t>
            </w:r>
            <w:r w:rsidRPr="00312485">
              <w:rPr>
                <w:rFonts w:eastAsia="Calibri"/>
                <w:color w:val="000000"/>
                <w:sz w:val="14"/>
                <w:szCs w:val="14"/>
                <w:lang w:val="ro-MD"/>
              </w:rPr>
              <w:t>906</w:t>
            </w:r>
          </w:p>
        </w:tc>
        <w:tc>
          <w:tcPr>
            <w:tcW w:w="445" w:type="pct"/>
            <w:tcBorders>
              <w:top w:val="single" w:sz="4" w:space="0" w:color="auto"/>
              <w:left w:val="single" w:sz="4" w:space="0" w:color="auto"/>
              <w:bottom w:val="single" w:sz="4" w:space="0" w:color="auto"/>
              <w:right w:val="single" w:sz="4" w:space="0" w:color="auto"/>
            </w:tcBorders>
            <w:noWrap/>
            <w:vAlign w:val="center"/>
            <w:hideMark/>
          </w:tcPr>
          <w:p w14:paraId="24E692E9" w14:textId="19B9EF1E" w:rsidR="00530F82" w:rsidRPr="00312485" w:rsidRDefault="00530F82" w:rsidP="003348A5">
            <w:pPr>
              <w:ind w:firstLine="0"/>
              <w:jc w:val="center"/>
              <w:rPr>
                <w:rFonts w:eastAsia="Calibri"/>
                <w:color w:val="000000"/>
                <w:sz w:val="14"/>
                <w:szCs w:val="14"/>
                <w:lang w:val="ro-MD"/>
              </w:rPr>
            </w:pPr>
            <w:r w:rsidRPr="00312485">
              <w:rPr>
                <w:rFonts w:eastAsia="Calibri"/>
                <w:color w:val="000000"/>
                <w:sz w:val="14"/>
                <w:szCs w:val="14"/>
                <w:lang w:val="ro-MD"/>
              </w:rPr>
              <w:t>-20</w:t>
            </w:r>
            <w:r w:rsidR="003348A5" w:rsidRPr="00312485">
              <w:rPr>
                <w:rFonts w:eastAsia="Calibri"/>
                <w:color w:val="000000"/>
                <w:sz w:val="14"/>
                <w:szCs w:val="14"/>
                <w:lang w:val="ro-MD"/>
              </w:rPr>
              <w:t xml:space="preserve"> </w:t>
            </w:r>
            <w:r w:rsidRPr="00312485">
              <w:rPr>
                <w:rFonts w:eastAsia="Calibri"/>
                <w:color w:val="000000"/>
                <w:sz w:val="14"/>
                <w:szCs w:val="14"/>
                <w:lang w:val="ro-MD"/>
              </w:rPr>
              <w:t>274</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3C9EAAE5" w14:textId="6F6883A0" w:rsidR="00530F82" w:rsidRPr="00312485" w:rsidRDefault="00530F82" w:rsidP="003348A5">
            <w:pPr>
              <w:ind w:firstLine="0"/>
              <w:jc w:val="center"/>
              <w:rPr>
                <w:rFonts w:eastAsia="Calibri"/>
                <w:color w:val="000000"/>
                <w:sz w:val="14"/>
                <w:szCs w:val="14"/>
                <w:lang w:val="ro-MD"/>
              </w:rPr>
            </w:pPr>
            <w:r w:rsidRPr="00312485">
              <w:rPr>
                <w:rFonts w:eastAsia="Calibri"/>
                <w:color w:val="000000"/>
                <w:sz w:val="14"/>
                <w:szCs w:val="14"/>
                <w:lang w:val="ro-MD"/>
              </w:rPr>
              <w:t>-2</w:t>
            </w:r>
            <w:r w:rsidR="001F53BE" w:rsidRPr="00312485">
              <w:rPr>
                <w:rFonts w:eastAsia="Calibri"/>
                <w:color w:val="000000"/>
                <w:sz w:val="14"/>
                <w:szCs w:val="14"/>
                <w:lang w:val="ro-MD"/>
              </w:rPr>
              <w:t>1</w:t>
            </w:r>
            <w:r w:rsidR="003348A5" w:rsidRPr="00312485">
              <w:rPr>
                <w:rFonts w:eastAsia="Calibri"/>
                <w:color w:val="000000"/>
                <w:sz w:val="14"/>
                <w:szCs w:val="14"/>
                <w:lang w:val="ro-MD"/>
              </w:rPr>
              <w:t xml:space="preserve"> </w:t>
            </w:r>
            <w:r w:rsidRPr="00312485">
              <w:rPr>
                <w:rFonts w:eastAsia="Calibri"/>
                <w:color w:val="000000"/>
                <w:sz w:val="14"/>
                <w:szCs w:val="14"/>
                <w:lang w:val="ro-MD"/>
              </w:rPr>
              <w:t>640</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2E0EDA26" w14:textId="4D9B3A7D" w:rsidR="00530F82" w:rsidRPr="00312485" w:rsidRDefault="00530F82" w:rsidP="003348A5">
            <w:pPr>
              <w:ind w:firstLine="0"/>
              <w:jc w:val="center"/>
              <w:rPr>
                <w:rFonts w:eastAsia="Calibri"/>
                <w:color w:val="000000"/>
                <w:sz w:val="14"/>
                <w:szCs w:val="14"/>
                <w:lang w:val="ro-MD"/>
              </w:rPr>
            </w:pPr>
            <w:r w:rsidRPr="00312485">
              <w:rPr>
                <w:rFonts w:eastAsia="Calibri"/>
                <w:color w:val="000000"/>
                <w:sz w:val="14"/>
                <w:szCs w:val="14"/>
                <w:lang w:val="ro-MD"/>
              </w:rPr>
              <w:t>-18</w:t>
            </w:r>
            <w:r w:rsidR="003348A5" w:rsidRPr="00312485">
              <w:rPr>
                <w:rFonts w:eastAsia="Calibri"/>
                <w:color w:val="000000"/>
                <w:sz w:val="14"/>
                <w:szCs w:val="14"/>
                <w:lang w:val="ro-MD"/>
              </w:rPr>
              <w:t xml:space="preserve"> </w:t>
            </w:r>
            <w:r w:rsidRPr="00312485">
              <w:rPr>
                <w:rFonts w:eastAsia="Calibri"/>
                <w:color w:val="000000"/>
                <w:sz w:val="14"/>
                <w:szCs w:val="14"/>
                <w:lang w:val="ro-MD"/>
              </w:rPr>
              <w:t>484</w:t>
            </w:r>
          </w:p>
        </w:tc>
        <w:tc>
          <w:tcPr>
            <w:tcW w:w="362" w:type="pct"/>
            <w:gridSpan w:val="3"/>
            <w:tcBorders>
              <w:top w:val="single" w:sz="4" w:space="0" w:color="auto"/>
              <w:left w:val="single" w:sz="4" w:space="0" w:color="auto"/>
              <w:bottom w:val="single" w:sz="4" w:space="0" w:color="auto"/>
              <w:right w:val="single" w:sz="4" w:space="0" w:color="auto"/>
            </w:tcBorders>
            <w:noWrap/>
            <w:vAlign w:val="center"/>
            <w:hideMark/>
          </w:tcPr>
          <w:p w14:paraId="0AD3BE2C"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-4,0%</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783353B4" w14:textId="77777777" w:rsidR="00530F82" w:rsidRPr="00312485" w:rsidRDefault="00530F82" w:rsidP="00B154B9">
            <w:pPr>
              <w:ind w:firstLine="0"/>
              <w:jc w:val="center"/>
              <w:rPr>
                <w:rFonts w:eastAsia="Calibri"/>
                <w:color w:val="000000"/>
                <w:sz w:val="14"/>
                <w:szCs w:val="16"/>
                <w:lang w:val="ro-MD"/>
              </w:rPr>
            </w:pPr>
            <w:r w:rsidRPr="00312485">
              <w:rPr>
                <w:rFonts w:eastAsia="Calibri"/>
                <w:b/>
                <w:bCs/>
                <w:color w:val="000000"/>
                <w:sz w:val="14"/>
                <w:szCs w:val="16"/>
                <w:lang w:val="ro-MD"/>
              </w:rPr>
              <w:t>-5,1%</w:t>
            </w:r>
          </w:p>
        </w:tc>
        <w:tc>
          <w:tcPr>
            <w:tcW w:w="418" w:type="pct"/>
            <w:gridSpan w:val="4"/>
            <w:tcBorders>
              <w:top w:val="single" w:sz="4" w:space="0" w:color="auto"/>
              <w:left w:val="single" w:sz="4" w:space="0" w:color="auto"/>
              <w:bottom w:val="single" w:sz="4" w:space="0" w:color="auto"/>
              <w:right w:val="single" w:sz="4" w:space="0" w:color="auto"/>
            </w:tcBorders>
            <w:noWrap/>
            <w:vAlign w:val="center"/>
            <w:hideMark/>
          </w:tcPr>
          <w:p w14:paraId="641F29A8"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-5,3%</w:t>
            </w:r>
          </w:p>
        </w:tc>
        <w:tc>
          <w:tcPr>
            <w:tcW w:w="379" w:type="pct"/>
            <w:gridSpan w:val="2"/>
            <w:tcBorders>
              <w:top w:val="single" w:sz="4" w:space="0" w:color="auto"/>
              <w:left w:val="single" w:sz="4" w:space="0" w:color="auto"/>
              <w:bottom w:val="single" w:sz="4" w:space="0" w:color="auto"/>
              <w:right w:val="single" w:sz="4" w:space="0" w:color="auto"/>
            </w:tcBorders>
            <w:noWrap/>
            <w:vAlign w:val="center"/>
            <w:hideMark/>
          </w:tcPr>
          <w:p w14:paraId="1A8E093F"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-5,3%</w:t>
            </w:r>
          </w:p>
        </w:tc>
        <w:tc>
          <w:tcPr>
            <w:tcW w:w="421" w:type="pct"/>
            <w:gridSpan w:val="3"/>
            <w:tcBorders>
              <w:top w:val="single" w:sz="4" w:space="0" w:color="auto"/>
              <w:left w:val="single" w:sz="4" w:space="0" w:color="auto"/>
              <w:bottom w:val="single" w:sz="4" w:space="0" w:color="auto"/>
              <w:right w:val="single" w:sz="4" w:space="0" w:color="auto"/>
            </w:tcBorders>
            <w:noWrap/>
            <w:vAlign w:val="center"/>
            <w:hideMark/>
          </w:tcPr>
          <w:p w14:paraId="560568FD"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-4,2%</w:t>
            </w:r>
          </w:p>
        </w:tc>
      </w:tr>
      <w:tr w:rsidR="00D24B28" w:rsidRPr="00312485" w14:paraId="378A3DEF" w14:textId="77777777" w:rsidTr="00D06832">
        <w:trPr>
          <w:gridAfter w:val="2"/>
          <w:wAfter w:w="9" w:type="pct"/>
          <w:trHeight w:val="251"/>
        </w:trPr>
        <w:tc>
          <w:tcPr>
            <w:tcW w:w="118" w:type="pct"/>
            <w:tcBorders>
              <w:top w:val="single" w:sz="4" w:space="0" w:color="auto"/>
              <w:left w:val="single" w:sz="4" w:space="0" w:color="auto"/>
              <w:bottom w:val="single" w:sz="4" w:space="0" w:color="auto"/>
            </w:tcBorders>
            <w:noWrap/>
            <w:vAlign w:val="center"/>
            <w:hideMark/>
          </w:tcPr>
          <w:p w14:paraId="24E0DE71" w14:textId="77777777" w:rsidR="00530F82" w:rsidRPr="00312485" w:rsidRDefault="00530F82" w:rsidP="00B154B9">
            <w:pPr>
              <w:ind w:firstLine="0"/>
              <w:jc w:val="left"/>
              <w:rPr>
                <w:rFonts w:eastAsia="Calibri"/>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61C26167"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Bugetele locale</w:t>
            </w:r>
          </w:p>
        </w:tc>
        <w:tc>
          <w:tcPr>
            <w:tcW w:w="397" w:type="pct"/>
            <w:tcBorders>
              <w:top w:val="single" w:sz="4" w:space="0" w:color="auto"/>
              <w:left w:val="single" w:sz="4" w:space="0" w:color="auto"/>
              <w:bottom w:val="single" w:sz="4" w:space="0" w:color="auto"/>
              <w:right w:val="single" w:sz="4" w:space="0" w:color="auto"/>
            </w:tcBorders>
            <w:noWrap/>
            <w:vAlign w:val="center"/>
            <w:hideMark/>
          </w:tcPr>
          <w:p w14:paraId="791F89C7"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-200</w:t>
            </w:r>
          </w:p>
        </w:tc>
        <w:tc>
          <w:tcPr>
            <w:tcW w:w="419" w:type="pct"/>
            <w:tcBorders>
              <w:top w:val="single" w:sz="4" w:space="0" w:color="auto"/>
              <w:left w:val="single" w:sz="4" w:space="0" w:color="auto"/>
              <w:bottom w:val="single" w:sz="4" w:space="0" w:color="auto"/>
              <w:right w:val="single" w:sz="4" w:space="0" w:color="auto"/>
            </w:tcBorders>
            <w:vAlign w:val="center"/>
          </w:tcPr>
          <w:p w14:paraId="49F57D92"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-200</w:t>
            </w:r>
          </w:p>
        </w:tc>
        <w:tc>
          <w:tcPr>
            <w:tcW w:w="445" w:type="pct"/>
            <w:tcBorders>
              <w:top w:val="single" w:sz="4" w:space="0" w:color="auto"/>
              <w:left w:val="single" w:sz="4" w:space="0" w:color="auto"/>
              <w:bottom w:val="single" w:sz="4" w:space="0" w:color="auto"/>
              <w:right w:val="single" w:sz="4" w:space="0" w:color="auto"/>
            </w:tcBorders>
            <w:noWrap/>
            <w:vAlign w:val="center"/>
          </w:tcPr>
          <w:p w14:paraId="69DF21A1"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 xml:space="preserve"> 0,0</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301A044B"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200</w:t>
            </w:r>
          </w:p>
        </w:tc>
        <w:tc>
          <w:tcPr>
            <w:tcW w:w="370" w:type="pct"/>
            <w:tcBorders>
              <w:top w:val="single" w:sz="4" w:space="0" w:color="auto"/>
              <w:left w:val="single" w:sz="4" w:space="0" w:color="auto"/>
              <w:bottom w:val="single" w:sz="4" w:space="0" w:color="auto"/>
              <w:right w:val="single" w:sz="4" w:space="0" w:color="auto"/>
            </w:tcBorders>
            <w:noWrap/>
            <w:vAlign w:val="center"/>
            <w:hideMark/>
          </w:tcPr>
          <w:p w14:paraId="71236CD0"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245</w:t>
            </w:r>
          </w:p>
        </w:tc>
        <w:tc>
          <w:tcPr>
            <w:tcW w:w="362" w:type="pct"/>
            <w:gridSpan w:val="3"/>
            <w:tcBorders>
              <w:top w:val="single" w:sz="4" w:space="0" w:color="auto"/>
              <w:left w:val="single" w:sz="4" w:space="0" w:color="auto"/>
              <w:bottom w:val="single" w:sz="4" w:space="0" w:color="auto"/>
              <w:right w:val="single" w:sz="4" w:space="0" w:color="auto"/>
            </w:tcBorders>
            <w:noWrap/>
            <w:vAlign w:val="center"/>
            <w:hideMark/>
          </w:tcPr>
          <w:p w14:paraId="771250E9"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-0,1%</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14B6E379" w14:textId="77777777" w:rsidR="00530F82" w:rsidRPr="00312485" w:rsidRDefault="00530F82" w:rsidP="00B154B9">
            <w:pPr>
              <w:ind w:firstLine="0"/>
              <w:jc w:val="center"/>
              <w:rPr>
                <w:rFonts w:eastAsia="Calibri"/>
                <w:color w:val="000000"/>
                <w:sz w:val="14"/>
                <w:szCs w:val="16"/>
                <w:lang w:val="ro-MD"/>
              </w:rPr>
            </w:pPr>
            <w:r w:rsidRPr="00312485">
              <w:rPr>
                <w:rFonts w:eastAsia="Calibri"/>
                <w:b/>
                <w:bCs/>
                <w:color w:val="000000"/>
                <w:sz w:val="14"/>
                <w:szCs w:val="16"/>
                <w:lang w:val="ro-MD"/>
              </w:rPr>
              <w:t>-0,1%</w:t>
            </w:r>
          </w:p>
        </w:tc>
        <w:tc>
          <w:tcPr>
            <w:tcW w:w="418" w:type="pct"/>
            <w:gridSpan w:val="4"/>
            <w:tcBorders>
              <w:top w:val="single" w:sz="4" w:space="0" w:color="auto"/>
              <w:left w:val="single" w:sz="4" w:space="0" w:color="auto"/>
              <w:bottom w:val="single" w:sz="4" w:space="0" w:color="auto"/>
              <w:right w:val="single" w:sz="4" w:space="0" w:color="auto"/>
            </w:tcBorders>
            <w:noWrap/>
            <w:vAlign w:val="center"/>
            <w:hideMark/>
          </w:tcPr>
          <w:p w14:paraId="474150EE"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379" w:type="pct"/>
            <w:gridSpan w:val="2"/>
            <w:tcBorders>
              <w:top w:val="single" w:sz="4" w:space="0" w:color="auto"/>
              <w:left w:val="single" w:sz="4" w:space="0" w:color="auto"/>
              <w:bottom w:val="single" w:sz="4" w:space="0" w:color="auto"/>
              <w:right w:val="single" w:sz="4" w:space="0" w:color="auto"/>
            </w:tcBorders>
            <w:noWrap/>
            <w:vAlign w:val="center"/>
            <w:hideMark/>
          </w:tcPr>
          <w:p w14:paraId="2FCA883D"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421" w:type="pct"/>
            <w:gridSpan w:val="3"/>
            <w:tcBorders>
              <w:top w:val="single" w:sz="4" w:space="0" w:color="auto"/>
              <w:left w:val="single" w:sz="4" w:space="0" w:color="auto"/>
              <w:bottom w:val="single" w:sz="4" w:space="0" w:color="auto"/>
              <w:right w:val="single" w:sz="4" w:space="0" w:color="auto"/>
            </w:tcBorders>
            <w:noWrap/>
            <w:vAlign w:val="center"/>
            <w:hideMark/>
          </w:tcPr>
          <w:p w14:paraId="07D95478"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0,1%</w:t>
            </w:r>
          </w:p>
        </w:tc>
      </w:tr>
      <w:tr w:rsidR="00D24B28" w:rsidRPr="00312485" w14:paraId="3A773A1E" w14:textId="77777777" w:rsidTr="00D06832">
        <w:trPr>
          <w:gridAfter w:val="2"/>
          <w:wAfter w:w="9" w:type="pct"/>
          <w:trHeight w:val="251"/>
        </w:trPr>
        <w:tc>
          <w:tcPr>
            <w:tcW w:w="118" w:type="pct"/>
            <w:tcBorders>
              <w:top w:val="single" w:sz="4" w:space="0" w:color="auto"/>
              <w:left w:val="single" w:sz="4" w:space="0" w:color="auto"/>
              <w:bottom w:val="single" w:sz="4" w:space="0" w:color="auto"/>
            </w:tcBorders>
            <w:noWrap/>
            <w:vAlign w:val="center"/>
            <w:hideMark/>
          </w:tcPr>
          <w:p w14:paraId="4D76D875" w14:textId="77777777" w:rsidR="00530F82" w:rsidRPr="00312485" w:rsidRDefault="00530F82" w:rsidP="00B154B9">
            <w:pPr>
              <w:ind w:firstLine="0"/>
              <w:jc w:val="left"/>
              <w:rPr>
                <w:rFonts w:eastAsia="Calibri"/>
                <w:color w:val="000000"/>
                <w:sz w:val="14"/>
                <w:szCs w:val="14"/>
                <w:lang w:val="ro-MD"/>
              </w:rPr>
            </w:pPr>
          </w:p>
        </w:tc>
        <w:tc>
          <w:tcPr>
            <w:tcW w:w="837" w:type="pct"/>
            <w:tcBorders>
              <w:top w:val="single" w:sz="4" w:space="0" w:color="auto"/>
              <w:bottom w:val="single" w:sz="4" w:space="0" w:color="auto"/>
              <w:right w:val="single" w:sz="4" w:space="0" w:color="auto"/>
            </w:tcBorders>
            <w:noWrap/>
            <w:vAlign w:val="center"/>
            <w:hideMark/>
          </w:tcPr>
          <w:p w14:paraId="635AEA27" w14:textId="77777777" w:rsidR="00530F82" w:rsidRPr="00312485" w:rsidRDefault="00530F82" w:rsidP="00B154B9">
            <w:pPr>
              <w:ind w:firstLine="0"/>
              <w:jc w:val="left"/>
              <w:rPr>
                <w:b/>
                <w:bCs/>
                <w:color w:val="000000"/>
                <w:sz w:val="14"/>
                <w:szCs w:val="14"/>
                <w:lang w:val="ro-MD"/>
              </w:rPr>
            </w:pPr>
            <w:r w:rsidRPr="00312485">
              <w:rPr>
                <w:rFonts w:eastAsia="Calibri"/>
                <w:b/>
                <w:bCs/>
                <w:color w:val="000000"/>
                <w:sz w:val="14"/>
                <w:szCs w:val="14"/>
                <w:lang w:val="ro-MD"/>
              </w:rPr>
              <w:t>BASS</w:t>
            </w:r>
          </w:p>
        </w:tc>
        <w:tc>
          <w:tcPr>
            <w:tcW w:w="397" w:type="pct"/>
            <w:tcBorders>
              <w:top w:val="single" w:sz="4" w:space="0" w:color="auto"/>
              <w:left w:val="single" w:sz="4" w:space="0" w:color="auto"/>
              <w:bottom w:val="single" w:sz="4" w:space="0" w:color="auto"/>
              <w:right w:val="single" w:sz="4" w:space="0" w:color="auto"/>
            </w:tcBorders>
            <w:noWrap/>
            <w:vAlign w:val="center"/>
          </w:tcPr>
          <w:p w14:paraId="31D5B85B"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419" w:type="pct"/>
            <w:tcBorders>
              <w:top w:val="single" w:sz="4" w:space="0" w:color="auto"/>
              <w:left w:val="single" w:sz="4" w:space="0" w:color="auto"/>
              <w:bottom w:val="single" w:sz="4" w:space="0" w:color="auto"/>
              <w:right w:val="single" w:sz="4" w:space="0" w:color="auto"/>
            </w:tcBorders>
            <w:vAlign w:val="center"/>
          </w:tcPr>
          <w:p w14:paraId="6F0E3AE5"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445" w:type="pct"/>
            <w:tcBorders>
              <w:top w:val="single" w:sz="4" w:space="0" w:color="auto"/>
              <w:left w:val="single" w:sz="4" w:space="0" w:color="auto"/>
              <w:bottom w:val="single" w:sz="4" w:space="0" w:color="auto"/>
              <w:right w:val="single" w:sz="4" w:space="0" w:color="auto"/>
            </w:tcBorders>
            <w:noWrap/>
            <w:vAlign w:val="center"/>
          </w:tcPr>
          <w:p w14:paraId="0FF65A1B"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78EB7B79"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370" w:type="pct"/>
            <w:tcBorders>
              <w:top w:val="single" w:sz="4" w:space="0" w:color="auto"/>
              <w:left w:val="single" w:sz="4" w:space="0" w:color="auto"/>
              <w:bottom w:val="single" w:sz="4" w:space="0" w:color="auto"/>
              <w:right w:val="single" w:sz="4" w:space="0" w:color="auto"/>
            </w:tcBorders>
            <w:noWrap/>
            <w:vAlign w:val="center"/>
          </w:tcPr>
          <w:p w14:paraId="7CECBD9A"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362" w:type="pct"/>
            <w:gridSpan w:val="3"/>
            <w:tcBorders>
              <w:top w:val="single" w:sz="4" w:space="0" w:color="auto"/>
              <w:left w:val="single" w:sz="4" w:space="0" w:color="auto"/>
              <w:bottom w:val="single" w:sz="4" w:space="0" w:color="auto"/>
              <w:right w:val="single" w:sz="4" w:space="0" w:color="auto"/>
            </w:tcBorders>
            <w:noWrap/>
            <w:vAlign w:val="center"/>
            <w:hideMark/>
          </w:tcPr>
          <w:p w14:paraId="2132A579"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2F02D56B" w14:textId="77777777" w:rsidR="00530F82" w:rsidRPr="00312485" w:rsidRDefault="00530F82" w:rsidP="00B154B9">
            <w:pPr>
              <w:ind w:firstLine="0"/>
              <w:jc w:val="center"/>
              <w:rPr>
                <w:rFonts w:eastAsia="Calibri"/>
                <w:color w:val="000000"/>
                <w:sz w:val="14"/>
                <w:szCs w:val="16"/>
                <w:lang w:val="ro-MD"/>
              </w:rPr>
            </w:pPr>
            <w:r w:rsidRPr="00312485">
              <w:rPr>
                <w:rFonts w:eastAsia="Calibri"/>
                <w:b/>
                <w:bCs/>
                <w:color w:val="000000"/>
                <w:sz w:val="14"/>
                <w:szCs w:val="16"/>
                <w:lang w:val="ro-MD"/>
              </w:rPr>
              <w:t>0,0%</w:t>
            </w:r>
          </w:p>
        </w:tc>
        <w:tc>
          <w:tcPr>
            <w:tcW w:w="418" w:type="pct"/>
            <w:gridSpan w:val="4"/>
            <w:tcBorders>
              <w:top w:val="single" w:sz="4" w:space="0" w:color="auto"/>
              <w:left w:val="single" w:sz="4" w:space="0" w:color="auto"/>
              <w:bottom w:val="single" w:sz="4" w:space="0" w:color="auto"/>
              <w:right w:val="single" w:sz="4" w:space="0" w:color="auto"/>
            </w:tcBorders>
            <w:noWrap/>
            <w:vAlign w:val="center"/>
            <w:hideMark/>
          </w:tcPr>
          <w:p w14:paraId="1AC24822"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379" w:type="pct"/>
            <w:gridSpan w:val="2"/>
            <w:tcBorders>
              <w:top w:val="single" w:sz="4" w:space="0" w:color="auto"/>
              <w:left w:val="single" w:sz="4" w:space="0" w:color="auto"/>
              <w:bottom w:val="single" w:sz="4" w:space="0" w:color="auto"/>
              <w:right w:val="single" w:sz="4" w:space="0" w:color="auto"/>
            </w:tcBorders>
            <w:noWrap/>
            <w:vAlign w:val="center"/>
            <w:hideMark/>
          </w:tcPr>
          <w:p w14:paraId="2A560729"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421" w:type="pct"/>
            <w:gridSpan w:val="3"/>
            <w:tcBorders>
              <w:top w:val="single" w:sz="4" w:space="0" w:color="auto"/>
              <w:left w:val="single" w:sz="4" w:space="0" w:color="auto"/>
              <w:bottom w:val="single" w:sz="4" w:space="0" w:color="auto"/>
              <w:right w:val="single" w:sz="4" w:space="0" w:color="auto"/>
            </w:tcBorders>
            <w:noWrap/>
            <w:vAlign w:val="center"/>
            <w:hideMark/>
          </w:tcPr>
          <w:p w14:paraId="415D7C52"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r>
      <w:tr w:rsidR="00D24B28" w:rsidRPr="00312485" w14:paraId="006BB75C" w14:textId="77777777" w:rsidTr="00D06832">
        <w:trPr>
          <w:gridAfter w:val="2"/>
          <w:wAfter w:w="9" w:type="pct"/>
          <w:trHeight w:val="264"/>
        </w:trPr>
        <w:tc>
          <w:tcPr>
            <w:tcW w:w="118" w:type="pct"/>
            <w:tcBorders>
              <w:top w:val="single" w:sz="4" w:space="0" w:color="auto"/>
              <w:left w:val="single" w:sz="4" w:space="0" w:color="auto"/>
              <w:bottom w:val="single" w:sz="4" w:space="0" w:color="auto"/>
            </w:tcBorders>
            <w:noWrap/>
            <w:vAlign w:val="center"/>
            <w:hideMark/>
          </w:tcPr>
          <w:p w14:paraId="0AFD730F" w14:textId="77777777" w:rsidR="00530F82" w:rsidRPr="00312485" w:rsidRDefault="00530F82" w:rsidP="00B154B9">
            <w:pPr>
              <w:ind w:firstLine="0"/>
              <w:jc w:val="left"/>
              <w:rPr>
                <w:rFonts w:eastAsia="Calibri"/>
                <w:color w:val="000000"/>
                <w:sz w:val="14"/>
                <w:szCs w:val="14"/>
                <w:lang w:val="ro-MD"/>
              </w:rPr>
            </w:pPr>
            <w:r w:rsidRPr="00312485">
              <w:rPr>
                <w:rFonts w:eastAsia="Calibri"/>
                <w:color w:val="000000"/>
                <w:sz w:val="14"/>
                <w:szCs w:val="14"/>
                <w:lang w:val="ro-MD"/>
              </w:rPr>
              <w:t> </w:t>
            </w:r>
          </w:p>
        </w:tc>
        <w:tc>
          <w:tcPr>
            <w:tcW w:w="837" w:type="pct"/>
            <w:tcBorders>
              <w:top w:val="single" w:sz="4" w:space="0" w:color="auto"/>
              <w:bottom w:val="single" w:sz="4" w:space="0" w:color="auto"/>
              <w:right w:val="single" w:sz="4" w:space="0" w:color="auto"/>
            </w:tcBorders>
            <w:noWrap/>
            <w:vAlign w:val="center"/>
            <w:hideMark/>
          </w:tcPr>
          <w:p w14:paraId="3833B7FA" w14:textId="77777777" w:rsidR="00530F82" w:rsidRPr="00312485" w:rsidRDefault="00530F82" w:rsidP="00B154B9">
            <w:pPr>
              <w:ind w:firstLine="0"/>
              <w:jc w:val="left"/>
              <w:rPr>
                <w:rFonts w:eastAsia="Calibri"/>
                <w:b/>
                <w:bCs/>
                <w:color w:val="000000"/>
                <w:sz w:val="14"/>
                <w:szCs w:val="14"/>
                <w:lang w:val="ro-MD"/>
              </w:rPr>
            </w:pPr>
            <w:r w:rsidRPr="00312485">
              <w:rPr>
                <w:rFonts w:eastAsia="Calibri"/>
                <w:b/>
                <w:bCs/>
                <w:color w:val="000000"/>
                <w:sz w:val="14"/>
                <w:szCs w:val="14"/>
                <w:lang w:val="ro-MD"/>
              </w:rPr>
              <w:t>FAOAM</w:t>
            </w:r>
          </w:p>
        </w:tc>
        <w:tc>
          <w:tcPr>
            <w:tcW w:w="397" w:type="pct"/>
            <w:tcBorders>
              <w:top w:val="single" w:sz="4" w:space="0" w:color="auto"/>
              <w:left w:val="single" w:sz="4" w:space="0" w:color="auto"/>
              <w:bottom w:val="single" w:sz="4" w:space="0" w:color="auto"/>
              <w:right w:val="single" w:sz="4" w:space="0" w:color="auto"/>
            </w:tcBorders>
            <w:noWrap/>
            <w:vAlign w:val="center"/>
          </w:tcPr>
          <w:p w14:paraId="3325CE22"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419" w:type="pct"/>
            <w:tcBorders>
              <w:top w:val="single" w:sz="4" w:space="0" w:color="auto"/>
              <w:left w:val="single" w:sz="4" w:space="0" w:color="auto"/>
              <w:bottom w:val="single" w:sz="4" w:space="0" w:color="auto"/>
              <w:right w:val="single" w:sz="4" w:space="0" w:color="auto"/>
            </w:tcBorders>
            <w:vAlign w:val="center"/>
          </w:tcPr>
          <w:p w14:paraId="4C61BFCC"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0,0</w:t>
            </w:r>
          </w:p>
        </w:tc>
        <w:tc>
          <w:tcPr>
            <w:tcW w:w="445" w:type="pct"/>
            <w:tcBorders>
              <w:top w:val="single" w:sz="4" w:space="0" w:color="auto"/>
              <w:left w:val="single" w:sz="4" w:space="0" w:color="auto"/>
              <w:bottom w:val="single" w:sz="4" w:space="0" w:color="auto"/>
              <w:right w:val="single" w:sz="4" w:space="0" w:color="auto"/>
            </w:tcBorders>
            <w:noWrap/>
            <w:vAlign w:val="center"/>
          </w:tcPr>
          <w:p w14:paraId="5D07DFF5" w14:textId="05175B99" w:rsidR="00530F82" w:rsidRPr="00312485" w:rsidRDefault="009E1F80" w:rsidP="00B154B9">
            <w:pPr>
              <w:ind w:firstLine="0"/>
              <w:jc w:val="center"/>
              <w:rPr>
                <w:rFonts w:eastAsia="Calibri"/>
                <w:color w:val="000000"/>
                <w:sz w:val="14"/>
                <w:szCs w:val="14"/>
                <w:lang w:val="ro-MD"/>
              </w:rPr>
            </w:pPr>
            <w:r w:rsidRPr="00312485">
              <w:rPr>
                <w:rFonts w:eastAsia="Calibri"/>
                <w:color w:val="000000"/>
                <w:sz w:val="14"/>
                <w:szCs w:val="14"/>
                <w:lang w:val="ro-MD"/>
              </w:rPr>
              <w:t>-240</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12279498"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-494</w:t>
            </w:r>
          </w:p>
        </w:tc>
        <w:tc>
          <w:tcPr>
            <w:tcW w:w="370" w:type="pct"/>
            <w:tcBorders>
              <w:top w:val="single" w:sz="4" w:space="0" w:color="auto"/>
              <w:left w:val="single" w:sz="4" w:space="0" w:color="auto"/>
              <w:bottom w:val="single" w:sz="4" w:space="0" w:color="auto"/>
              <w:right w:val="single" w:sz="4" w:space="0" w:color="auto"/>
            </w:tcBorders>
            <w:noWrap/>
            <w:vAlign w:val="center"/>
          </w:tcPr>
          <w:p w14:paraId="137C55DA" w14:textId="77777777" w:rsidR="00530F82" w:rsidRPr="00312485" w:rsidRDefault="00530F82" w:rsidP="00B154B9">
            <w:pPr>
              <w:ind w:firstLine="0"/>
              <w:jc w:val="center"/>
              <w:rPr>
                <w:rFonts w:eastAsia="Calibri"/>
                <w:color w:val="000000"/>
                <w:sz w:val="14"/>
                <w:szCs w:val="14"/>
                <w:lang w:val="ro-MD"/>
              </w:rPr>
            </w:pPr>
            <w:r w:rsidRPr="00312485">
              <w:rPr>
                <w:rFonts w:eastAsia="Calibri"/>
                <w:color w:val="000000"/>
                <w:sz w:val="14"/>
                <w:szCs w:val="14"/>
                <w:lang w:val="ro-MD"/>
              </w:rPr>
              <w:t>-346</w:t>
            </w:r>
          </w:p>
        </w:tc>
        <w:tc>
          <w:tcPr>
            <w:tcW w:w="362" w:type="pct"/>
            <w:gridSpan w:val="3"/>
            <w:tcBorders>
              <w:top w:val="single" w:sz="4" w:space="0" w:color="auto"/>
              <w:left w:val="single" w:sz="4" w:space="0" w:color="auto"/>
              <w:bottom w:val="single" w:sz="4" w:space="0" w:color="auto"/>
              <w:right w:val="single" w:sz="4" w:space="0" w:color="auto"/>
            </w:tcBorders>
            <w:noWrap/>
            <w:vAlign w:val="center"/>
            <w:hideMark/>
          </w:tcPr>
          <w:p w14:paraId="23F63C60"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0,0%</w:t>
            </w:r>
          </w:p>
        </w:tc>
        <w:tc>
          <w:tcPr>
            <w:tcW w:w="408" w:type="pct"/>
            <w:gridSpan w:val="4"/>
            <w:tcBorders>
              <w:top w:val="single" w:sz="4" w:space="0" w:color="auto"/>
              <w:left w:val="single" w:sz="4" w:space="0" w:color="auto"/>
              <w:bottom w:val="single" w:sz="4" w:space="0" w:color="auto"/>
              <w:right w:val="single" w:sz="4" w:space="0" w:color="auto"/>
            </w:tcBorders>
            <w:vAlign w:val="center"/>
          </w:tcPr>
          <w:p w14:paraId="387700D9" w14:textId="77777777" w:rsidR="00530F82" w:rsidRPr="00312485" w:rsidRDefault="00530F82" w:rsidP="00B154B9">
            <w:pPr>
              <w:ind w:firstLine="0"/>
              <w:jc w:val="center"/>
              <w:rPr>
                <w:rFonts w:eastAsia="Calibri"/>
                <w:color w:val="000000"/>
                <w:sz w:val="14"/>
                <w:szCs w:val="16"/>
                <w:lang w:val="ro-MD"/>
              </w:rPr>
            </w:pPr>
            <w:r w:rsidRPr="00312485">
              <w:rPr>
                <w:rFonts w:eastAsia="Calibri"/>
                <w:b/>
                <w:bCs/>
                <w:color w:val="000000"/>
                <w:sz w:val="14"/>
                <w:szCs w:val="16"/>
                <w:lang w:val="ro-MD"/>
              </w:rPr>
              <w:t>0,0%</w:t>
            </w:r>
          </w:p>
        </w:tc>
        <w:tc>
          <w:tcPr>
            <w:tcW w:w="418" w:type="pct"/>
            <w:gridSpan w:val="4"/>
            <w:tcBorders>
              <w:top w:val="single" w:sz="4" w:space="0" w:color="auto"/>
              <w:left w:val="single" w:sz="4" w:space="0" w:color="auto"/>
              <w:bottom w:val="single" w:sz="4" w:space="0" w:color="auto"/>
              <w:right w:val="single" w:sz="4" w:space="0" w:color="auto"/>
            </w:tcBorders>
            <w:noWrap/>
            <w:vAlign w:val="center"/>
            <w:hideMark/>
          </w:tcPr>
          <w:p w14:paraId="486853BB"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-0,1%</w:t>
            </w:r>
          </w:p>
        </w:tc>
        <w:tc>
          <w:tcPr>
            <w:tcW w:w="379" w:type="pct"/>
            <w:gridSpan w:val="2"/>
            <w:tcBorders>
              <w:top w:val="single" w:sz="4" w:space="0" w:color="auto"/>
              <w:left w:val="single" w:sz="4" w:space="0" w:color="auto"/>
              <w:bottom w:val="single" w:sz="4" w:space="0" w:color="auto"/>
              <w:right w:val="single" w:sz="4" w:space="0" w:color="auto"/>
            </w:tcBorders>
            <w:noWrap/>
            <w:vAlign w:val="center"/>
            <w:hideMark/>
          </w:tcPr>
          <w:p w14:paraId="65611109"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-0,1%</w:t>
            </w:r>
          </w:p>
        </w:tc>
        <w:tc>
          <w:tcPr>
            <w:tcW w:w="421" w:type="pct"/>
            <w:gridSpan w:val="3"/>
            <w:tcBorders>
              <w:top w:val="single" w:sz="4" w:space="0" w:color="auto"/>
              <w:left w:val="single" w:sz="4" w:space="0" w:color="auto"/>
              <w:bottom w:val="single" w:sz="4" w:space="0" w:color="auto"/>
              <w:right w:val="single" w:sz="4" w:space="0" w:color="auto"/>
            </w:tcBorders>
            <w:noWrap/>
            <w:vAlign w:val="center"/>
            <w:hideMark/>
          </w:tcPr>
          <w:p w14:paraId="57D779E2" w14:textId="77777777" w:rsidR="00530F82" w:rsidRPr="00312485" w:rsidRDefault="00530F82" w:rsidP="00B154B9">
            <w:pPr>
              <w:ind w:firstLine="0"/>
              <w:jc w:val="center"/>
              <w:rPr>
                <w:rFonts w:eastAsia="Calibri"/>
                <w:color w:val="000000"/>
                <w:sz w:val="14"/>
                <w:szCs w:val="16"/>
                <w:lang w:val="ro-MD"/>
              </w:rPr>
            </w:pPr>
            <w:r w:rsidRPr="00312485">
              <w:rPr>
                <w:rFonts w:eastAsia="Calibri"/>
                <w:color w:val="000000"/>
                <w:sz w:val="14"/>
                <w:szCs w:val="16"/>
                <w:lang w:val="ro-MD"/>
              </w:rPr>
              <w:t>-0,1%</w:t>
            </w:r>
          </w:p>
        </w:tc>
      </w:tr>
      <w:tr w:rsidR="00114161" w:rsidRPr="00312485" w14:paraId="46465F60" w14:textId="77777777" w:rsidTr="00D06832">
        <w:trPr>
          <w:gridAfter w:val="1"/>
          <w:wAfter w:w="4" w:type="pct"/>
          <w:trHeight w:val="248"/>
        </w:trPr>
        <w:tc>
          <w:tcPr>
            <w:tcW w:w="955" w:type="pct"/>
            <w:gridSpan w:val="2"/>
            <w:tcBorders>
              <w:top w:val="single" w:sz="4" w:space="0" w:color="auto"/>
              <w:left w:val="single" w:sz="4" w:space="0" w:color="auto"/>
              <w:bottom w:val="single" w:sz="4" w:space="0" w:color="auto"/>
              <w:right w:val="nil"/>
            </w:tcBorders>
            <w:noWrap/>
            <w:vAlign w:val="center"/>
            <w:hideMark/>
          </w:tcPr>
          <w:p w14:paraId="4617C1E6" w14:textId="3D389901" w:rsidR="00530F82" w:rsidRPr="00312485" w:rsidRDefault="00530F82" w:rsidP="00E31FDD">
            <w:pPr>
              <w:ind w:firstLine="0"/>
              <w:jc w:val="left"/>
              <w:rPr>
                <w:rFonts w:eastAsia="Calibri"/>
                <w:bCs/>
                <w:i/>
                <w:color w:val="000000"/>
                <w:sz w:val="14"/>
                <w:szCs w:val="14"/>
                <w:lang w:val="ro-MD"/>
              </w:rPr>
            </w:pPr>
            <w:r w:rsidRPr="00312485">
              <w:rPr>
                <w:rFonts w:eastAsia="Calibri"/>
                <w:bCs/>
                <w:i/>
                <w:color w:val="000000"/>
                <w:sz w:val="14"/>
                <w:szCs w:val="14"/>
                <w:lang w:val="ro-MD"/>
              </w:rPr>
              <w:t>Informativ PIB (mil.lei) </w:t>
            </w:r>
          </w:p>
        </w:tc>
        <w:tc>
          <w:tcPr>
            <w:tcW w:w="397" w:type="pct"/>
            <w:tcBorders>
              <w:top w:val="single" w:sz="4" w:space="0" w:color="auto"/>
              <w:left w:val="nil"/>
              <w:bottom w:val="single" w:sz="4" w:space="0" w:color="auto"/>
              <w:right w:val="nil"/>
            </w:tcBorders>
            <w:noWrap/>
            <w:vAlign w:val="center"/>
            <w:hideMark/>
          </w:tcPr>
          <w:p w14:paraId="18767BF5" w14:textId="77777777" w:rsidR="00530F82" w:rsidRPr="00312485" w:rsidRDefault="00530F82" w:rsidP="00B154B9">
            <w:pPr>
              <w:ind w:firstLine="0"/>
              <w:jc w:val="center"/>
              <w:rPr>
                <w:rFonts w:eastAsia="Calibri"/>
                <w:i/>
                <w:color w:val="000000"/>
                <w:sz w:val="14"/>
                <w:szCs w:val="14"/>
                <w:lang w:val="ro-MD"/>
              </w:rPr>
            </w:pPr>
            <w:r w:rsidRPr="00312485">
              <w:rPr>
                <w:rFonts w:eastAsia="Calibri"/>
                <w:i/>
                <w:color w:val="000000"/>
                <w:sz w:val="14"/>
                <w:szCs w:val="14"/>
                <w:lang w:val="ro-MD"/>
              </w:rPr>
              <w:t> </w:t>
            </w:r>
          </w:p>
        </w:tc>
        <w:tc>
          <w:tcPr>
            <w:tcW w:w="419" w:type="pct"/>
            <w:tcBorders>
              <w:top w:val="single" w:sz="4" w:space="0" w:color="auto"/>
              <w:left w:val="nil"/>
              <w:bottom w:val="single" w:sz="4" w:space="0" w:color="auto"/>
              <w:right w:val="nil"/>
            </w:tcBorders>
            <w:vAlign w:val="center"/>
          </w:tcPr>
          <w:p w14:paraId="147E32F5" w14:textId="77777777" w:rsidR="00530F82" w:rsidRPr="00312485" w:rsidRDefault="00530F82" w:rsidP="00B154B9">
            <w:pPr>
              <w:ind w:firstLine="0"/>
              <w:jc w:val="center"/>
              <w:rPr>
                <w:rFonts w:eastAsia="Calibri"/>
                <w:i/>
                <w:color w:val="000000"/>
                <w:sz w:val="14"/>
                <w:szCs w:val="14"/>
                <w:lang w:val="ro-MD"/>
              </w:rPr>
            </w:pPr>
          </w:p>
        </w:tc>
        <w:tc>
          <w:tcPr>
            <w:tcW w:w="445" w:type="pct"/>
            <w:tcBorders>
              <w:top w:val="single" w:sz="4" w:space="0" w:color="auto"/>
              <w:left w:val="nil"/>
              <w:bottom w:val="single" w:sz="4" w:space="0" w:color="auto"/>
              <w:right w:val="nil"/>
            </w:tcBorders>
            <w:noWrap/>
            <w:vAlign w:val="center"/>
            <w:hideMark/>
          </w:tcPr>
          <w:p w14:paraId="4875A962" w14:textId="77777777" w:rsidR="00530F82" w:rsidRPr="00312485" w:rsidRDefault="00530F82" w:rsidP="00B154B9">
            <w:pPr>
              <w:ind w:firstLine="0"/>
              <w:jc w:val="center"/>
              <w:rPr>
                <w:rFonts w:eastAsia="Calibri"/>
                <w:i/>
                <w:color w:val="000000"/>
                <w:sz w:val="14"/>
                <w:szCs w:val="14"/>
                <w:lang w:val="ro-MD"/>
              </w:rPr>
            </w:pPr>
            <w:r w:rsidRPr="00312485">
              <w:rPr>
                <w:rFonts w:eastAsia="Calibri"/>
                <w:i/>
                <w:color w:val="000000"/>
                <w:sz w:val="14"/>
                <w:szCs w:val="14"/>
                <w:lang w:val="ro-MD"/>
              </w:rPr>
              <w:t> </w:t>
            </w:r>
          </w:p>
        </w:tc>
        <w:tc>
          <w:tcPr>
            <w:tcW w:w="417" w:type="pct"/>
            <w:tcBorders>
              <w:top w:val="single" w:sz="4" w:space="0" w:color="auto"/>
              <w:left w:val="nil"/>
              <w:bottom w:val="single" w:sz="4" w:space="0" w:color="auto"/>
              <w:right w:val="nil"/>
            </w:tcBorders>
            <w:noWrap/>
            <w:vAlign w:val="center"/>
            <w:hideMark/>
          </w:tcPr>
          <w:p w14:paraId="64F00046" w14:textId="77777777" w:rsidR="00530F82" w:rsidRPr="00312485" w:rsidRDefault="00530F82" w:rsidP="00B154B9">
            <w:pPr>
              <w:ind w:firstLine="0"/>
              <w:jc w:val="center"/>
              <w:rPr>
                <w:rFonts w:eastAsia="Calibri"/>
                <w:i/>
                <w:color w:val="000000"/>
                <w:sz w:val="14"/>
                <w:szCs w:val="14"/>
                <w:lang w:val="ro-MD"/>
              </w:rPr>
            </w:pPr>
            <w:r w:rsidRPr="00312485">
              <w:rPr>
                <w:rFonts w:eastAsia="Calibri"/>
                <w:i/>
                <w:color w:val="000000"/>
                <w:sz w:val="14"/>
                <w:szCs w:val="14"/>
                <w:lang w:val="ro-MD"/>
              </w:rPr>
              <w:t> </w:t>
            </w:r>
          </w:p>
        </w:tc>
        <w:tc>
          <w:tcPr>
            <w:tcW w:w="370" w:type="pct"/>
            <w:tcBorders>
              <w:top w:val="single" w:sz="4" w:space="0" w:color="auto"/>
              <w:left w:val="nil"/>
              <w:bottom w:val="single" w:sz="4" w:space="0" w:color="auto"/>
              <w:right w:val="single" w:sz="4" w:space="0" w:color="auto"/>
            </w:tcBorders>
            <w:noWrap/>
            <w:vAlign w:val="center"/>
            <w:hideMark/>
          </w:tcPr>
          <w:p w14:paraId="664757F1" w14:textId="77777777" w:rsidR="00530F82" w:rsidRPr="00312485" w:rsidRDefault="00530F82" w:rsidP="00B154B9">
            <w:pPr>
              <w:ind w:firstLine="0"/>
              <w:jc w:val="center"/>
              <w:rPr>
                <w:rFonts w:eastAsia="Calibri"/>
                <w:i/>
                <w:color w:val="000000"/>
                <w:sz w:val="14"/>
                <w:szCs w:val="14"/>
                <w:lang w:val="ro-MD"/>
              </w:rPr>
            </w:pPr>
            <w:r w:rsidRPr="00312485">
              <w:rPr>
                <w:rFonts w:eastAsia="Calibri"/>
                <w:i/>
                <w:color w:val="000000"/>
                <w:sz w:val="14"/>
                <w:szCs w:val="14"/>
                <w:lang w:val="ro-MD"/>
              </w:rPr>
              <w:t> </w:t>
            </w:r>
          </w:p>
        </w:tc>
        <w:tc>
          <w:tcPr>
            <w:tcW w:w="356" w:type="pct"/>
            <w:gridSpan w:val="2"/>
            <w:tcBorders>
              <w:top w:val="single" w:sz="4" w:space="0" w:color="auto"/>
              <w:left w:val="single" w:sz="4" w:space="0" w:color="auto"/>
              <w:bottom w:val="single" w:sz="4" w:space="0" w:color="auto"/>
              <w:right w:val="single" w:sz="4" w:space="0" w:color="auto"/>
            </w:tcBorders>
            <w:noWrap/>
            <w:vAlign w:val="center"/>
            <w:hideMark/>
          </w:tcPr>
          <w:p w14:paraId="5A05A293" w14:textId="77777777" w:rsidR="00530F82" w:rsidRPr="00312485" w:rsidRDefault="00530F82" w:rsidP="00B154B9">
            <w:pPr>
              <w:ind w:firstLine="0"/>
              <w:jc w:val="center"/>
              <w:rPr>
                <w:rFonts w:eastAsia="Calibri"/>
                <w:bCs/>
                <w:i/>
                <w:color w:val="000000"/>
                <w:sz w:val="14"/>
                <w:szCs w:val="16"/>
                <w:lang w:val="ro-MD"/>
              </w:rPr>
            </w:pPr>
            <w:r w:rsidRPr="00312485">
              <w:rPr>
                <w:rFonts w:eastAsia="Calibri"/>
                <w:bCs/>
                <w:i/>
                <w:color w:val="000000"/>
                <w:sz w:val="14"/>
                <w:szCs w:val="16"/>
                <w:lang w:val="ro-MD"/>
              </w:rPr>
              <w:t>348 400</w:t>
            </w:r>
          </w:p>
        </w:tc>
        <w:tc>
          <w:tcPr>
            <w:tcW w:w="427" w:type="pct"/>
            <w:gridSpan w:val="6"/>
            <w:tcBorders>
              <w:top w:val="single" w:sz="4" w:space="0" w:color="auto"/>
              <w:left w:val="single" w:sz="4" w:space="0" w:color="auto"/>
              <w:bottom w:val="single" w:sz="4" w:space="0" w:color="auto"/>
              <w:right w:val="single" w:sz="4" w:space="0" w:color="auto"/>
            </w:tcBorders>
            <w:vAlign w:val="center"/>
          </w:tcPr>
          <w:p w14:paraId="253ABC11" w14:textId="77777777" w:rsidR="00530F82" w:rsidRPr="00312485" w:rsidRDefault="00530F82" w:rsidP="00B154B9">
            <w:pPr>
              <w:ind w:firstLine="0"/>
              <w:jc w:val="center"/>
              <w:rPr>
                <w:rFonts w:eastAsia="Calibri"/>
                <w:bCs/>
                <w:i/>
                <w:color w:val="000000"/>
                <w:sz w:val="14"/>
                <w:szCs w:val="16"/>
                <w:lang w:val="ro-MD"/>
              </w:rPr>
            </w:pPr>
            <w:r w:rsidRPr="00312485">
              <w:rPr>
                <w:rFonts w:eastAsia="Calibri"/>
                <w:bCs/>
                <w:i/>
                <w:color w:val="000000"/>
                <w:sz w:val="14"/>
                <w:szCs w:val="16"/>
                <w:lang w:val="ro-MD"/>
              </w:rPr>
              <w:t>351 100</w:t>
            </w:r>
          </w:p>
        </w:tc>
        <w:tc>
          <w:tcPr>
            <w:tcW w:w="412" w:type="pct"/>
            <w:gridSpan w:val="4"/>
            <w:tcBorders>
              <w:top w:val="single" w:sz="4" w:space="0" w:color="auto"/>
              <w:left w:val="single" w:sz="4" w:space="0" w:color="auto"/>
              <w:bottom w:val="single" w:sz="4" w:space="0" w:color="auto"/>
              <w:right w:val="single" w:sz="4" w:space="0" w:color="auto"/>
            </w:tcBorders>
            <w:noWrap/>
            <w:vAlign w:val="center"/>
            <w:hideMark/>
          </w:tcPr>
          <w:p w14:paraId="594DA9C5" w14:textId="77777777" w:rsidR="00530F82" w:rsidRPr="00312485" w:rsidRDefault="00530F82" w:rsidP="00B154B9">
            <w:pPr>
              <w:ind w:firstLine="0"/>
              <w:jc w:val="center"/>
              <w:rPr>
                <w:rFonts w:eastAsia="Calibri"/>
                <w:bCs/>
                <w:i/>
                <w:color w:val="000000"/>
                <w:sz w:val="14"/>
                <w:szCs w:val="16"/>
                <w:lang w:val="ro-MD"/>
              </w:rPr>
            </w:pPr>
            <w:r w:rsidRPr="00312485">
              <w:rPr>
                <w:rFonts w:eastAsia="Calibri"/>
                <w:bCs/>
                <w:i/>
                <w:color w:val="000000"/>
                <w:sz w:val="14"/>
                <w:szCs w:val="16"/>
                <w:lang w:val="ro-MD"/>
              </w:rPr>
              <w:t>380 300</w:t>
            </w:r>
          </w:p>
        </w:tc>
        <w:tc>
          <w:tcPr>
            <w:tcW w:w="372" w:type="pct"/>
            <w:tcBorders>
              <w:top w:val="single" w:sz="4" w:space="0" w:color="auto"/>
              <w:left w:val="single" w:sz="4" w:space="0" w:color="auto"/>
              <w:bottom w:val="single" w:sz="4" w:space="0" w:color="auto"/>
              <w:right w:val="single" w:sz="4" w:space="0" w:color="auto"/>
            </w:tcBorders>
            <w:noWrap/>
            <w:vAlign w:val="center"/>
            <w:hideMark/>
          </w:tcPr>
          <w:p w14:paraId="1376E35B" w14:textId="77777777" w:rsidR="00530F82" w:rsidRPr="00312485" w:rsidRDefault="00530F82" w:rsidP="00B154B9">
            <w:pPr>
              <w:ind w:firstLine="0"/>
              <w:jc w:val="center"/>
              <w:rPr>
                <w:rFonts w:eastAsia="Calibri"/>
                <w:bCs/>
                <w:i/>
                <w:color w:val="000000"/>
                <w:sz w:val="14"/>
                <w:szCs w:val="16"/>
                <w:lang w:val="ro-MD"/>
              </w:rPr>
            </w:pPr>
            <w:r w:rsidRPr="00312485">
              <w:rPr>
                <w:rFonts w:eastAsia="Calibri"/>
                <w:bCs/>
                <w:i/>
                <w:color w:val="000000"/>
                <w:sz w:val="14"/>
                <w:szCs w:val="16"/>
                <w:lang w:val="ro-MD"/>
              </w:rPr>
              <w:t>411 700</w:t>
            </w:r>
          </w:p>
        </w:tc>
        <w:tc>
          <w:tcPr>
            <w:tcW w:w="426" w:type="pct"/>
            <w:gridSpan w:val="4"/>
            <w:tcBorders>
              <w:top w:val="single" w:sz="4" w:space="0" w:color="auto"/>
              <w:left w:val="single" w:sz="4" w:space="0" w:color="auto"/>
              <w:bottom w:val="single" w:sz="4" w:space="0" w:color="auto"/>
              <w:right w:val="single" w:sz="4" w:space="0" w:color="auto"/>
            </w:tcBorders>
            <w:noWrap/>
            <w:vAlign w:val="center"/>
            <w:hideMark/>
          </w:tcPr>
          <w:p w14:paraId="52FCC60A" w14:textId="3CE81E68" w:rsidR="00530F82" w:rsidRPr="00312485" w:rsidRDefault="00530F82" w:rsidP="00B5124B">
            <w:pPr>
              <w:ind w:firstLine="0"/>
              <w:jc w:val="center"/>
              <w:rPr>
                <w:rFonts w:eastAsia="Calibri"/>
                <w:bCs/>
                <w:i/>
                <w:color w:val="000000"/>
                <w:sz w:val="14"/>
                <w:szCs w:val="16"/>
                <w:lang w:val="ro-MD"/>
              </w:rPr>
            </w:pPr>
            <w:r w:rsidRPr="00312485">
              <w:rPr>
                <w:rFonts w:eastAsia="Calibri"/>
                <w:bCs/>
                <w:i/>
                <w:color w:val="000000"/>
                <w:sz w:val="14"/>
                <w:szCs w:val="16"/>
                <w:lang w:val="ro-MD"/>
              </w:rPr>
              <w:t>4</w:t>
            </w:r>
            <w:r w:rsidR="00B5124B" w:rsidRPr="00312485">
              <w:rPr>
                <w:rFonts w:eastAsia="Calibri"/>
                <w:bCs/>
                <w:i/>
                <w:color w:val="000000"/>
                <w:sz w:val="14"/>
                <w:szCs w:val="16"/>
                <w:lang w:val="ro-MD"/>
              </w:rPr>
              <w:t>40</w:t>
            </w:r>
            <w:r w:rsidRPr="00312485">
              <w:rPr>
                <w:rFonts w:eastAsia="Calibri"/>
                <w:bCs/>
                <w:i/>
                <w:color w:val="000000"/>
                <w:sz w:val="14"/>
                <w:szCs w:val="16"/>
                <w:lang w:val="ro-MD"/>
              </w:rPr>
              <w:t xml:space="preserve"> </w:t>
            </w:r>
            <w:r w:rsidR="00B5124B" w:rsidRPr="00312485">
              <w:rPr>
                <w:rFonts w:eastAsia="Calibri"/>
                <w:bCs/>
                <w:i/>
                <w:color w:val="000000"/>
                <w:sz w:val="14"/>
                <w:szCs w:val="16"/>
                <w:lang w:val="ro-MD"/>
              </w:rPr>
              <w:t>7</w:t>
            </w:r>
            <w:r w:rsidRPr="00312485">
              <w:rPr>
                <w:rFonts w:eastAsia="Calibri"/>
                <w:bCs/>
                <w:i/>
                <w:color w:val="000000"/>
                <w:sz w:val="14"/>
                <w:szCs w:val="16"/>
                <w:lang w:val="ro-MD"/>
              </w:rPr>
              <w:t>00</w:t>
            </w:r>
          </w:p>
        </w:tc>
      </w:tr>
    </w:tbl>
    <w:p w14:paraId="7AC9C753" w14:textId="77777777" w:rsidR="004D5C5E" w:rsidRPr="00312485" w:rsidRDefault="004D5C5E" w:rsidP="0095729F">
      <w:pPr>
        <w:ind w:firstLine="0"/>
        <w:rPr>
          <w:rFonts w:eastAsia="Calibri"/>
          <w:bCs/>
          <w:i/>
          <w:iCs/>
          <w:color w:val="000000"/>
          <w:sz w:val="16"/>
          <w:szCs w:val="22"/>
          <w:lang w:val="ro-MD"/>
        </w:rPr>
      </w:pPr>
      <w:r w:rsidRPr="00312485">
        <w:rPr>
          <w:rFonts w:eastAsia="Calibri"/>
          <w:bCs/>
          <w:i/>
          <w:iCs/>
          <w:color w:val="000000"/>
          <w:sz w:val="16"/>
          <w:szCs w:val="22"/>
          <w:lang w:val="ro-MD"/>
        </w:rPr>
        <w:t>Sursa: Ministerul Finanțelor</w:t>
      </w:r>
    </w:p>
    <w:p w14:paraId="13ABD705" w14:textId="7AE94731" w:rsidR="004D5C5E" w:rsidRPr="00312485" w:rsidRDefault="004D5C5E" w:rsidP="004D5C5E">
      <w:pPr>
        <w:pStyle w:val="Table"/>
        <w:spacing w:before="0" w:line="240" w:lineRule="auto"/>
        <w:jc w:val="both"/>
        <w:rPr>
          <w:rFonts w:ascii="Times New Roman" w:hAnsi="Times New Roman"/>
          <w:b w:val="0"/>
          <w:bCs/>
          <w:i/>
          <w:iCs/>
          <w:color w:val="000000"/>
          <w:sz w:val="14"/>
          <w:lang w:val="ro-MD"/>
        </w:rPr>
      </w:pPr>
    </w:p>
    <w:p w14:paraId="1B0CF208" w14:textId="33A93200" w:rsidR="00A633B8" w:rsidRPr="00312485" w:rsidRDefault="00A633B8" w:rsidP="002D3AD7">
      <w:pPr>
        <w:pStyle w:val="Table"/>
        <w:spacing w:before="0" w:line="240" w:lineRule="auto"/>
        <w:ind w:firstLine="567"/>
        <w:contextualSpacing/>
        <w:jc w:val="both"/>
        <w:rPr>
          <w:rFonts w:ascii="Times New Roman" w:hAnsi="Times New Roman"/>
          <w:b w:val="0"/>
          <w:color w:val="auto"/>
          <w:sz w:val="24"/>
          <w:szCs w:val="24"/>
          <w:lang w:val="ro-MD" w:eastAsia="ru-RU"/>
        </w:rPr>
      </w:pPr>
      <w:r w:rsidRPr="00312485">
        <w:rPr>
          <w:rFonts w:ascii="Times New Roman" w:hAnsi="Times New Roman"/>
          <w:b w:val="0"/>
          <w:color w:val="auto"/>
          <w:sz w:val="24"/>
          <w:szCs w:val="24"/>
          <w:lang w:val="ro-MD" w:eastAsia="ru-RU"/>
        </w:rPr>
        <w:t xml:space="preserve">Totuși, perspectivele pe termen mediu sunt pozitive, cu asigurarea unui echilibru optim între consolidarea bugetară și sprijinirea redresării economice. </w:t>
      </w:r>
    </w:p>
    <w:p w14:paraId="7CEFF347" w14:textId="2F68A2A3" w:rsidR="00A217CE" w:rsidRPr="00312485" w:rsidRDefault="00B154B9" w:rsidP="002D3AD7">
      <w:pPr>
        <w:pStyle w:val="Table"/>
        <w:spacing w:before="0" w:line="240" w:lineRule="auto"/>
        <w:ind w:firstLine="567"/>
        <w:contextualSpacing/>
        <w:jc w:val="both"/>
        <w:rPr>
          <w:rFonts w:ascii="Times New Roman" w:hAnsi="Times New Roman"/>
          <w:b w:val="0"/>
          <w:color w:val="auto"/>
          <w:sz w:val="24"/>
          <w:szCs w:val="24"/>
          <w:lang w:val="ro-MD" w:eastAsia="ru-RU"/>
        </w:rPr>
      </w:pPr>
      <w:r w:rsidRPr="00312485">
        <w:rPr>
          <w:rFonts w:ascii="Times New Roman" w:hAnsi="Times New Roman"/>
          <w:b w:val="0"/>
          <w:color w:val="auto"/>
          <w:sz w:val="24"/>
          <w:szCs w:val="24"/>
          <w:lang w:val="ro-MD" w:eastAsia="ru-RU"/>
        </w:rPr>
        <w:t xml:space="preserve">Astfel, urmare a includerii priorităților de politici publice reflectate în documentele de politici pe termen mediu, </w:t>
      </w:r>
      <w:r w:rsidRPr="00712369">
        <w:rPr>
          <w:rFonts w:ascii="Times New Roman" w:hAnsi="Times New Roman"/>
          <w:b w:val="0"/>
          <w:i/>
          <w:color w:val="auto"/>
          <w:sz w:val="24"/>
          <w:szCs w:val="24"/>
          <w:lang w:val="ro-MD" w:eastAsia="ru-RU"/>
        </w:rPr>
        <w:t>soldul bugetar negativ al bugetului public național</w:t>
      </w:r>
      <w:r w:rsidRPr="00312485">
        <w:rPr>
          <w:rFonts w:ascii="Times New Roman" w:hAnsi="Times New Roman"/>
          <w:b w:val="0"/>
          <w:color w:val="auto"/>
          <w:sz w:val="24"/>
          <w:szCs w:val="24"/>
          <w:lang w:val="ro-MD" w:eastAsia="ru-RU"/>
        </w:rPr>
        <w:t xml:space="preserve"> pe termen mediu se estimează la 5,4 % din PIB în 2026, 5,3% din PIB în 2027 și 4,2% în PIB – în 2028.</w:t>
      </w:r>
    </w:p>
    <w:p w14:paraId="580BB89C" w14:textId="7FA8B02E" w:rsidR="00E549A3" w:rsidRDefault="00E549A3" w:rsidP="00A6355D">
      <w:pPr>
        <w:pStyle w:val="Table"/>
        <w:spacing w:line="240" w:lineRule="auto"/>
        <w:ind w:firstLine="567"/>
        <w:contextualSpacing/>
        <w:jc w:val="both"/>
        <w:rPr>
          <w:rFonts w:ascii="Times New Roman" w:hAnsi="Times New Roman"/>
          <w:b w:val="0"/>
          <w:color w:val="auto"/>
          <w:sz w:val="24"/>
          <w:szCs w:val="24"/>
          <w:lang w:val="ro-MD" w:eastAsia="ru-RU"/>
        </w:rPr>
      </w:pPr>
    </w:p>
    <w:p w14:paraId="7976913C" w14:textId="3892557C" w:rsidR="00D17564" w:rsidRPr="00312485" w:rsidRDefault="00D17564" w:rsidP="007F7429">
      <w:pPr>
        <w:pStyle w:val="Listparagraf"/>
        <w:numPr>
          <w:ilvl w:val="0"/>
          <w:numId w:val="31"/>
        </w:numPr>
        <w:tabs>
          <w:tab w:val="left" w:pos="993"/>
        </w:tabs>
        <w:spacing w:before="120"/>
        <w:jc w:val="left"/>
        <w:rPr>
          <w:b/>
          <w:sz w:val="24"/>
          <w:szCs w:val="24"/>
          <w:lang w:val="ro-MD"/>
        </w:rPr>
      </w:pPr>
      <w:r w:rsidRPr="00312485">
        <w:rPr>
          <w:b/>
          <w:sz w:val="24"/>
          <w:szCs w:val="24"/>
          <w:lang w:val="ro-MD"/>
        </w:rPr>
        <w:t>Venituri</w:t>
      </w:r>
    </w:p>
    <w:p w14:paraId="133B3FC3" w14:textId="77777777" w:rsidR="001B319D" w:rsidRPr="00312485" w:rsidRDefault="001B319D" w:rsidP="001B319D">
      <w:pPr>
        <w:pStyle w:val="Listparagraf"/>
        <w:tabs>
          <w:tab w:val="left" w:pos="993"/>
        </w:tabs>
        <w:spacing w:before="120"/>
        <w:ind w:left="927" w:firstLine="0"/>
        <w:rPr>
          <w:b/>
          <w:sz w:val="28"/>
          <w:szCs w:val="28"/>
          <w:lang w:val="ro-MD"/>
        </w:rPr>
      </w:pPr>
    </w:p>
    <w:p w14:paraId="64B80B52" w14:textId="77777777" w:rsidR="00C96A6F" w:rsidRPr="00312485" w:rsidRDefault="00C96A6F" w:rsidP="00C96A6F">
      <w:pPr>
        <w:spacing w:after="120"/>
        <w:ind w:firstLine="567"/>
        <w:rPr>
          <w:b/>
          <w:i/>
          <w:sz w:val="24"/>
          <w:szCs w:val="28"/>
          <w:lang w:val="ro-MD"/>
        </w:rPr>
      </w:pPr>
      <w:r w:rsidRPr="00312485">
        <w:rPr>
          <w:b/>
          <w:i/>
          <w:sz w:val="24"/>
          <w:szCs w:val="28"/>
          <w:lang w:val="ro-MD"/>
        </w:rPr>
        <w:t>Estimările veniturilor în 2025</w:t>
      </w:r>
    </w:p>
    <w:p w14:paraId="5B7C651A" w14:textId="4EB31334" w:rsidR="00C96A6F" w:rsidRPr="00312485" w:rsidRDefault="00C96A6F" w:rsidP="00C96A6F">
      <w:pPr>
        <w:pStyle w:val="Numberedtex"/>
        <w:numPr>
          <w:ilvl w:val="0"/>
          <w:numId w:val="0"/>
        </w:numPr>
        <w:tabs>
          <w:tab w:val="clear" w:pos="403"/>
          <w:tab w:val="left" w:pos="993"/>
        </w:tabs>
        <w:spacing w:before="0" w:after="0" w:line="240" w:lineRule="auto"/>
        <w:ind w:firstLine="567"/>
        <w:rPr>
          <w:rFonts w:ascii="Times New Roman" w:hAnsi="Times New Roman"/>
          <w:sz w:val="24"/>
          <w:szCs w:val="28"/>
          <w:lang w:val="ro-MD" w:eastAsia="ru-RU"/>
        </w:rPr>
      </w:pPr>
      <w:r w:rsidRPr="00312485">
        <w:rPr>
          <w:rFonts w:ascii="Times New Roman" w:hAnsi="Times New Roman"/>
          <w:sz w:val="24"/>
          <w:szCs w:val="28"/>
          <w:lang w:val="ro-MD" w:eastAsia="ru-RU"/>
        </w:rPr>
        <w:t xml:space="preserve">Pentru anul 2025, </w:t>
      </w:r>
      <w:r w:rsidRPr="00CD0069">
        <w:rPr>
          <w:rFonts w:ascii="Times New Roman" w:hAnsi="Times New Roman"/>
          <w:i/>
          <w:sz w:val="24"/>
          <w:szCs w:val="28"/>
          <w:lang w:val="ro-MD" w:eastAsia="ru-RU"/>
        </w:rPr>
        <w:t>veniturile bugetului public național</w:t>
      </w:r>
      <w:r w:rsidRPr="00312485">
        <w:rPr>
          <w:rFonts w:ascii="Times New Roman" w:hAnsi="Times New Roman"/>
          <w:sz w:val="24"/>
          <w:szCs w:val="28"/>
          <w:lang w:val="ro-MD" w:eastAsia="ru-RU"/>
        </w:rPr>
        <w:t xml:space="preserve"> au fost estimate în sumă de 124 052,1 mil. lei, față de 110 338,5 mil. lei executate în 2024, iar ca pondere în PIB vor constitui 35,3%, majorând-se față de anul precedent cu 1,2 punte procentuale. De asemenea, față de anul precedent, veniturile bugetului public național vor crește cu circa 13 713,6 mil. lei (12,4%). Partea majoră care a determinat această creștere a constituit încasările din impozite și taxe care se estimează că se vor majora cu 6 358,8 mil. lei (15,1%). </w:t>
      </w:r>
    </w:p>
    <w:p w14:paraId="4E3F8544" w14:textId="77777777" w:rsidR="00C96A6F" w:rsidRPr="00312485" w:rsidRDefault="00C96A6F" w:rsidP="00C96A6F">
      <w:pPr>
        <w:pStyle w:val="Numberedtex"/>
        <w:numPr>
          <w:ilvl w:val="0"/>
          <w:numId w:val="0"/>
        </w:numPr>
        <w:tabs>
          <w:tab w:val="left" w:pos="993"/>
          <w:tab w:val="left" w:pos="1134"/>
        </w:tabs>
        <w:spacing w:before="0" w:after="0" w:line="240" w:lineRule="auto"/>
        <w:ind w:firstLine="709"/>
        <w:rPr>
          <w:rFonts w:ascii="Times New Roman" w:hAnsi="Times New Roman"/>
          <w:sz w:val="24"/>
          <w:szCs w:val="28"/>
          <w:lang w:val="ro-MD" w:eastAsia="ru-RU"/>
        </w:rPr>
      </w:pPr>
      <w:r w:rsidRPr="00312485">
        <w:rPr>
          <w:rFonts w:ascii="Times New Roman" w:hAnsi="Times New Roman"/>
          <w:sz w:val="24"/>
          <w:szCs w:val="28"/>
          <w:lang w:val="ro-MD" w:eastAsia="ru-RU"/>
        </w:rPr>
        <w:t>Performanța principalelor tipuri de venituri pentru anul 2025 poate fi sintetizată în modul următor:</w:t>
      </w:r>
    </w:p>
    <w:p w14:paraId="75E84DFA" w14:textId="0577911C" w:rsidR="00C96A6F" w:rsidRPr="00312485" w:rsidRDefault="00C96A6F" w:rsidP="00C96A6F">
      <w:pPr>
        <w:pStyle w:val="Listparagraf"/>
        <w:numPr>
          <w:ilvl w:val="0"/>
          <w:numId w:val="17"/>
        </w:numPr>
        <w:tabs>
          <w:tab w:val="left" w:pos="633"/>
          <w:tab w:val="left" w:pos="993"/>
        </w:tabs>
        <w:ind w:left="0" w:firstLine="720"/>
        <w:rPr>
          <w:sz w:val="24"/>
          <w:szCs w:val="28"/>
          <w:lang w:val="ro-MD"/>
        </w:rPr>
      </w:pPr>
      <w:r w:rsidRPr="00312485">
        <w:rPr>
          <w:sz w:val="24"/>
          <w:szCs w:val="28"/>
          <w:lang w:val="ro-MD"/>
        </w:rPr>
        <w:lastRenderedPageBreak/>
        <w:t xml:space="preserve">încasările </w:t>
      </w:r>
      <w:r w:rsidRPr="00312485">
        <w:rPr>
          <w:bCs/>
          <w:iCs/>
          <w:sz w:val="24"/>
          <w:szCs w:val="28"/>
          <w:lang w:val="ro-MD"/>
        </w:rPr>
        <w:t>din impozite și taxe pe bunuri și servicii</w:t>
      </w:r>
      <w:r w:rsidRPr="00312485">
        <w:rPr>
          <w:sz w:val="24"/>
          <w:szCs w:val="28"/>
          <w:lang w:val="ro-MD"/>
        </w:rPr>
        <w:t xml:space="preserve"> vor crește cu 9,8 % în 2025. Creșterea va fi înregistrată la încasările din TVA cu 10,6</w:t>
      </w:r>
      <w:r w:rsidR="004435C3">
        <w:rPr>
          <w:sz w:val="24"/>
          <w:szCs w:val="28"/>
          <w:lang w:val="ro-MD"/>
        </w:rPr>
        <w:t xml:space="preserve"> </w:t>
      </w:r>
      <w:r w:rsidRPr="00312485">
        <w:rPr>
          <w:sz w:val="24"/>
          <w:szCs w:val="28"/>
          <w:lang w:val="ro-MD"/>
        </w:rPr>
        <w:t>% ca urmare a creșterii importurilor și exporturilor față de anul precedent cu 3,4 % și 8,3 %, respectiv;</w:t>
      </w:r>
    </w:p>
    <w:p w14:paraId="6C046C93" w14:textId="77777777" w:rsidR="00C96A6F" w:rsidRPr="00312485" w:rsidRDefault="00C96A6F" w:rsidP="00C96A6F">
      <w:pPr>
        <w:pStyle w:val="Listparagraf"/>
        <w:numPr>
          <w:ilvl w:val="0"/>
          <w:numId w:val="17"/>
        </w:numPr>
        <w:tabs>
          <w:tab w:val="left" w:pos="633"/>
          <w:tab w:val="left" w:pos="993"/>
        </w:tabs>
        <w:ind w:left="0" w:firstLine="720"/>
        <w:rPr>
          <w:sz w:val="24"/>
          <w:szCs w:val="24"/>
          <w:lang w:val="ro-MD"/>
        </w:rPr>
      </w:pPr>
      <w:r w:rsidRPr="00312485">
        <w:rPr>
          <w:sz w:val="24"/>
          <w:szCs w:val="28"/>
          <w:lang w:val="ro-MD"/>
        </w:rPr>
        <w:t xml:space="preserve">încasările </w:t>
      </w:r>
      <w:r w:rsidRPr="00312485">
        <w:rPr>
          <w:bCs/>
          <w:iCs/>
          <w:sz w:val="24"/>
          <w:szCs w:val="28"/>
          <w:lang w:val="ro-MD"/>
        </w:rPr>
        <w:t>contribuțiilor de asigurări sociale de stat și ale primelor de asigurare obligatorie de asistență medicală</w:t>
      </w:r>
      <w:r w:rsidRPr="00312485">
        <w:rPr>
          <w:sz w:val="24"/>
          <w:szCs w:val="28"/>
          <w:lang w:val="ro-MD"/>
        </w:rPr>
        <w:t xml:space="preserve"> vor crește cu 12,6% și, respectiv, cu 15,1 % în </w:t>
      </w:r>
      <w:r w:rsidRPr="00312485">
        <w:rPr>
          <w:sz w:val="24"/>
          <w:szCs w:val="24"/>
          <w:lang w:val="ro-MD"/>
        </w:rPr>
        <w:t>2025. Creșterile respective au la bază estimările fondului de remunerare a muncii care se prognozează a fi pe un trend ascendent;</w:t>
      </w:r>
    </w:p>
    <w:p w14:paraId="00C62DE1" w14:textId="753E6821" w:rsidR="00C96A6F" w:rsidRPr="00312485" w:rsidRDefault="00C96A6F" w:rsidP="00C96A6F">
      <w:pPr>
        <w:pStyle w:val="Listparagraf"/>
        <w:numPr>
          <w:ilvl w:val="0"/>
          <w:numId w:val="17"/>
        </w:numPr>
        <w:tabs>
          <w:tab w:val="left" w:pos="633"/>
          <w:tab w:val="left" w:pos="993"/>
        </w:tabs>
        <w:ind w:left="0" w:firstLine="720"/>
        <w:rPr>
          <w:sz w:val="24"/>
          <w:szCs w:val="24"/>
          <w:lang w:val="ro-MD"/>
        </w:rPr>
      </w:pPr>
      <w:r w:rsidRPr="00312485">
        <w:rPr>
          <w:bCs/>
          <w:iCs/>
          <w:sz w:val="24"/>
          <w:szCs w:val="28"/>
          <w:lang w:val="ro-MD"/>
        </w:rPr>
        <w:t>granturile externe pentru suport bugetar și pentru proiectele finanțate din surse externe</w:t>
      </w:r>
      <w:r w:rsidRPr="00312485">
        <w:rPr>
          <w:sz w:val="24"/>
          <w:szCs w:val="28"/>
          <w:lang w:val="ro-MD"/>
        </w:rPr>
        <w:t xml:space="preserve">  aproape se vor dubla (+95,1%) în 2025 față de anul 2024 și vor constitui 5 057,9 mil. lei. </w:t>
      </w:r>
      <w:r w:rsidRPr="00312485">
        <w:rPr>
          <w:sz w:val="24"/>
          <w:szCs w:val="24"/>
          <w:lang w:val="ro-MD"/>
        </w:rPr>
        <w:t>Din suma menționată, granturile pentru suport bugetar constituie suma de 3 961,3 mil. lei</w:t>
      </w:r>
      <w:r w:rsidR="002A3D2A" w:rsidRPr="00312485">
        <w:rPr>
          <w:sz w:val="24"/>
          <w:szCs w:val="24"/>
          <w:lang w:val="ro-MD"/>
        </w:rPr>
        <w:t>, acestea fiind direcționate pentru atenuarea efectelor crizei energetice</w:t>
      </w:r>
      <w:r w:rsidRPr="00312485">
        <w:rPr>
          <w:sz w:val="24"/>
          <w:szCs w:val="24"/>
          <w:lang w:val="ro-MD"/>
        </w:rPr>
        <w:t>.</w:t>
      </w:r>
    </w:p>
    <w:p w14:paraId="4DDAC88F" w14:textId="77777777" w:rsidR="00C96A6F" w:rsidRPr="00312485" w:rsidRDefault="00C96A6F" w:rsidP="00C96A6F">
      <w:pPr>
        <w:pStyle w:val="Title1"/>
        <w:tabs>
          <w:tab w:val="left" w:pos="993"/>
        </w:tabs>
        <w:spacing w:before="0" w:after="0" w:line="240" w:lineRule="auto"/>
        <w:ind w:firstLine="567"/>
        <w:rPr>
          <w:rFonts w:ascii="Times New Roman" w:hAnsi="Times New Roman"/>
          <w:color w:val="auto"/>
          <w:sz w:val="24"/>
          <w:szCs w:val="28"/>
          <w:lang w:val="ro-MD"/>
        </w:rPr>
      </w:pPr>
    </w:p>
    <w:p w14:paraId="5D4CFC27" w14:textId="68AAE25F" w:rsidR="00C96A6F" w:rsidRPr="00312485" w:rsidRDefault="00C96A6F" w:rsidP="00C96A6F">
      <w:pPr>
        <w:pStyle w:val="Title1"/>
        <w:tabs>
          <w:tab w:val="left" w:pos="993"/>
        </w:tabs>
        <w:spacing w:before="0" w:after="0" w:line="240" w:lineRule="auto"/>
        <w:ind w:firstLine="567"/>
        <w:rPr>
          <w:rFonts w:ascii="Times New Roman" w:hAnsi="Times New Roman"/>
          <w:i/>
          <w:color w:val="auto"/>
          <w:sz w:val="24"/>
          <w:szCs w:val="28"/>
          <w:lang w:val="ro-MD"/>
        </w:rPr>
      </w:pPr>
      <w:r w:rsidRPr="00312485">
        <w:rPr>
          <w:rFonts w:ascii="Times New Roman" w:hAnsi="Times New Roman"/>
          <w:i/>
          <w:color w:val="auto"/>
          <w:sz w:val="24"/>
          <w:szCs w:val="28"/>
          <w:lang w:val="ro-MD"/>
        </w:rPr>
        <w:t>Perspective de ve</w:t>
      </w:r>
      <w:r w:rsidR="000E2A7E" w:rsidRPr="00312485">
        <w:rPr>
          <w:rFonts w:ascii="Times New Roman" w:hAnsi="Times New Roman"/>
          <w:i/>
          <w:color w:val="auto"/>
          <w:sz w:val="24"/>
          <w:szCs w:val="28"/>
          <w:lang w:val="ro-MD"/>
        </w:rPr>
        <w:t>nituri pe termen mediu 202</w:t>
      </w:r>
      <w:r w:rsidR="00CB091E" w:rsidRPr="00312485">
        <w:rPr>
          <w:rFonts w:ascii="Times New Roman" w:hAnsi="Times New Roman"/>
          <w:i/>
          <w:color w:val="auto"/>
          <w:sz w:val="24"/>
          <w:szCs w:val="28"/>
          <w:lang w:val="ro-MD"/>
        </w:rPr>
        <w:t>6</w:t>
      </w:r>
      <w:r w:rsidR="000E2A7E" w:rsidRPr="00312485">
        <w:rPr>
          <w:rFonts w:ascii="Times New Roman" w:hAnsi="Times New Roman"/>
          <w:i/>
          <w:color w:val="auto"/>
          <w:sz w:val="24"/>
          <w:szCs w:val="28"/>
          <w:lang w:val="ro-MD"/>
        </w:rPr>
        <w:t>-2028</w:t>
      </w:r>
    </w:p>
    <w:p w14:paraId="27686BEE" w14:textId="2719814A" w:rsidR="00C96A6F" w:rsidRPr="00312485" w:rsidRDefault="00C96A6F" w:rsidP="00C9381C">
      <w:pPr>
        <w:pStyle w:val="Numberedtex"/>
        <w:numPr>
          <w:ilvl w:val="0"/>
          <w:numId w:val="0"/>
        </w:numPr>
        <w:shd w:val="clear" w:color="auto" w:fill="FFFFFF" w:themeFill="background1"/>
        <w:tabs>
          <w:tab w:val="clear" w:pos="403"/>
          <w:tab w:val="left" w:pos="993"/>
        </w:tabs>
        <w:spacing w:after="0" w:line="240" w:lineRule="auto"/>
        <w:ind w:firstLineChars="236" w:firstLine="566"/>
        <w:rPr>
          <w:b/>
          <w:bCs/>
          <w:color w:val="000000"/>
          <w:lang w:val="ro-MD"/>
        </w:rPr>
      </w:pPr>
      <w:r w:rsidRPr="00312485">
        <w:rPr>
          <w:rFonts w:ascii="Times New Roman" w:eastAsia="Times New Roman" w:hAnsi="Times New Roman"/>
          <w:sz w:val="24"/>
          <w:lang w:val="ro-MD"/>
        </w:rPr>
        <w:t>Pe baza previziunilor macroeconomice,</w:t>
      </w:r>
      <w:r w:rsidRPr="00312485">
        <w:rPr>
          <w:rFonts w:ascii="Times New Roman" w:eastAsiaTheme="minorHAnsi" w:hAnsi="Times New Roman"/>
          <w:color w:val="000000"/>
          <w:sz w:val="24"/>
          <w:szCs w:val="28"/>
          <w:lang w:val="ro-MD"/>
        </w:rPr>
        <w:t xml:space="preserve"> precum și măsurilor prevăzute în domeniul fiscal și vamal pe această perioadă</w:t>
      </w:r>
      <w:r w:rsidRPr="00312485">
        <w:rPr>
          <w:rFonts w:ascii="Times New Roman" w:eastAsia="Times New Roman" w:hAnsi="Times New Roman"/>
          <w:sz w:val="24"/>
          <w:lang w:val="ro-MD"/>
        </w:rPr>
        <w:t xml:space="preserve">, se preconizează că </w:t>
      </w:r>
      <w:r w:rsidRPr="00CD0069">
        <w:rPr>
          <w:rFonts w:ascii="Times New Roman" w:eastAsia="Times New Roman" w:hAnsi="Times New Roman"/>
          <w:i/>
          <w:sz w:val="24"/>
          <w:lang w:val="ro-MD"/>
        </w:rPr>
        <w:t>veniturile</w:t>
      </w:r>
      <w:r w:rsidRPr="00312485">
        <w:rPr>
          <w:rFonts w:ascii="Times New Roman" w:eastAsia="Times New Roman" w:hAnsi="Times New Roman"/>
          <w:sz w:val="24"/>
          <w:lang w:val="ro-MD"/>
        </w:rPr>
        <w:t xml:space="preserve"> vor continua să crească pe termen mediu (2026-2028) la o rată medie de 7,8%. </w:t>
      </w:r>
      <w:r w:rsidRPr="00312485">
        <w:rPr>
          <w:rFonts w:ascii="Times New Roman" w:eastAsiaTheme="minorHAnsi" w:hAnsi="Times New Roman"/>
          <w:color w:val="000000"/>
          <w:sz w:val="24"/>
          <w:szCs w:val="28"/>
          <w:lang w:val="ro-MD"/>
        </w:rPr>
        <w:t xml:space="preserve">Se estimează că </w:t>
      </w:r>
      <w:r w:rsidRPr="00CD0069">
        <w:rPr>
          <w:rFonts w:ascii="Times New Roman" w:eastAsiaTheme="minorHAnsi" w:hAnsi="Times New Roman"/>
          <w:bCs/>
          <w:i/>
          <w:color w:val="000000"/>
          <w:sz w:val="24"/>
          <w:szCs w:val="28"/>
          <w:lang w:val="ro-MD"/>
        </w:rPr>
        <w:t>veniturile bugetare</w:t>
      </w:r>
      <w:r w:rsidRPr="00312485">
        <w:rPr>
          <w:rFonts w:ascii="Times New Roman" w:eastAsiaTheme="minorHAnsi" w:hAnsi="Times New Roman"/>
          <w:color w:val="000000"/>
          <w:sz w:val="24"/>
          <w:szCs w:val="28"/>
          <w:lang w:val="ro-MD"/>
        </w:rPr>
        <w:t xml:space="preserve"> vor crește în valori nominale de la 131 904,3 mil. lei în 2026 la 155 805,8 mil. lei în 2028 sau cu 18,1% (tabelul 3.</w:t>
      </w:r>
      <w:r w:rsidR="00242B07" w:rsidRPr="00312485">
        <w:rPr>
          <w:rFonts w:ascii="Times New Roman" w:eastAsiaTheme="minorHAnsi" w:hAnsi="Times New Roman"/>
          <w:color w:val="000000"/>
          <w:sz w:val="24"/>
          <w:szCs w:val="28"/>
          <w:lang w:val="ro-MD"/>
        </w:rPr>
        <w:t>4</w:t>
      </w:r>
      <w:r w:rsidRPr="00312485">
        <w:rPr>
          <w:rFonts w:ascii="Times New Roman" w:eastAsiaTheme="minorHAnsi" w:hAnsi="Times New Roman"/>
          <w:color w:val="000000"/>
          <w:sz w:val="24"/>
          <w:szCs w:val="28"/>
          <w:lang w:val="ro-MD"/>
        </w:rPr>
        <w:t>).</w:t>
      </w:r>
    </w:p>
    <w:p w14:paraId="6C015A9B" w14:textId="4568D102" w:rsidR="00C96A6F" w:rsidRPr="00312485" w:rsidRDefault="00C96A6F" w:rsidP="00985B4D">
      <w:pPr>
        <w:shd w:val="clear" w:color="auto" w:fill="FFFFFF"/>
        <w:ind w:right="57" w:firstLine="0"/>
        <w:jc w:val="right"/>
        <w:rPr>
          <w:rFonts w:eastAsia="Calibri"/>
          <w:b/>
          <w:bCs/>
          <w:color w:val="000000"/>
          <w:sz w:val="22"/>
          <w:lang w:val="ro-MD"/>
        </w:rPr>
      </w:pPr>
      <w:r w:rsidRPr="00312485">
        <w:rPr>
          <w:rFonts w:eastAsia="Calibri"/>
          <w:b/>
          <w:bCs/>
          <w:color w:val="000000"/>
          <w:sz w:val="22"/>
          <w:lang w:val="ro-MD"/>
        </w:rPr>
        <w:t>Tab</w:t>
      </w:r>
      <w:r w:rsidR="00242B07" w:rsidRPr="00312485">
        <w:rPr>
          <w:rFonts w:eastAsia="Calibri"/>
          <w:b/>
          <w:bCs/>
          <w:color w:val="000000"/>
          <w:sz w:val="22"/>
          <w:lang w:val="ro-MD"/>
        </w:rPr>
        <w:t>elul 3.4</w:t>
      </w:r>
    </w:p>
    <w:p w14:paraId="0AFDE1A6" w14:textId="77777777" w:rsidR="00C96A6F" w:rsidRPr="00312485" w:rsidRDefault="00C96A6F" w:rsidP="00C96A6F">
      <w:pPr>
        <w:shd w:val="clear" w:color="auto" w:fill="FFFFFF"/>
        <w:spacing w:after="120"/>
        <w:ind w:firstLine="0"/>
        <w:jc w:val="center"/>
        <w:rPr>
          <w:rFonts w:eastAsia="Calibri"/>
          <w:b/>
          <w:lang w:val="ro-MD"/>
        </w:rPr>
      </w:pPr>
      <w:r w:rsidRPr="00312485">
        <w:rPr>
          <w:rFonts w:eastAsia="Calibri"/>
          <w:b/>
          <w:bCs/>
          <w:lang w:val="ro-MD"/>
        </w:rPr>
        <w:t>Tabelul sumar al veniturilor</w:t>
      </w:r>
    </w:p>
    <w:tbl>
      <w:tblPr>
        <w:tblW w:w="4947" w:type="pct"/>
        <w:tblLook w:val="04A0" w:firstRow="1" w:lastRow="0" w:firstColumn="1" w:lastColumn="0" w:noHBand="0" w:noVBand="1"/>
      </w:tblPr>
      <w:tblGrid>
        <w:gridCol w:w="779"/>
        <w:gridCol w:w="2549"/>
        <w:gridCol w:w="718"/>
        <w:gridCol w:w="11"/>
        <w:gridCol w:w="783"/>
        <w:gridCol w:w="807"/>
        <w:gridCol w:w="796"/>
        <w:gridCol w:w="899"/>
        <w:gridCol w:w="839"/>
        <w:gridCol w:w="841"/>
      </w:tblGrid>
      <w:tr w:rsidR="00C96A6F" w:rsidRPr="00312485" w14:paraId="006A1BA2" w14:textId="77777777" w:rsidTr="00E245CF">
        <w:trPr>
          <w:trHeight w:val="245"/>
          <w:tblHeader/>
        </w:trPr>
        <w:tc>
          <w:tcPr>
            <w:tcW w:w="432" w:type="pct"/>
            <w:tcBorders>
              <w:top w:val="single" w:sz="4" w:space="0" w:color="auto"/>
              <w:left w:val="single" w:sz="4" w:space="0" w:color="auto"/>
              <w:bottom w:val="nil"/>
              <w:right w:val="nil"/>
            </w:tcBorders>
            <w:noWrap/>
            <w:vAlign w:val="center"/>
            <w:hideMark/>
          </w:tcPr>
          <w:p w14:paraId="48C6622A"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1413" w:type="pct"/>
            <w:tcBorders>
              <w:top w:val="single" w:sz="4" w:space="0" w:color="auto"/>
              <w:left w:val="nil"/>
              <w:bottom w:val="nil"/>
              <w:right w:val="single" w:sz="4" w:space="0" w:color="auto"/>
            </w:tcBorders>
            <w:noWrap/>
            <w:vAlign w:val="center"/>
            <w:hideMark/>
          </w:tcPr>
          <w:p w14:paraId="7DB0BC52"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404" w:type="pct"/>
            <w:gridSpan w:val="2"/>
            <w:tcBorders>
              <w:top w:val="single" w:sz="4" w:space="0" w:color="auto"/>
              <w:left w:val="single" w:sz="4" w:space="0" w:color="auto"/>
              <w:bottom w:val="nil"/>
              <w:right w:val="nil"/>
            </w:tcBorders>
            <w:noWrap/>
            <w:vAlign w:val="center"/>
            <w:hideMark/>
          </w:tcPr>
          <w:p w14:paraId="0035988B"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2023</w:t>
            </w:r>
          </w:p>
        </w:tc>
        <w:tc>
          <w:tcPr>
            <w:tcW w:w="434" w:type="pct"/>
            <w:tcBorders>
              <w:top w:val="single" w:sz="4" w:space="0" w:color="auto"/>
              <w:left w:val="nil"/>
              <w:bottom w:val="nil"/>
              <w:right w:val="nil"/>
            </w:tcBorders>
            <w:noWrap/>
            <w:vAlign w:val="center"/>
            <w:hideMark/>
          </w:tcPr>
          <w:p w14:paraId="2329BEA0"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2024</w:t>
            </w:r>
          </w:p>
        </w:tc>
        <w:tc>
          <w:tcPr>
            <w:tcW w:w="447" w:type="pct"/>
            <w:tcBorders>
              <w:top w:val="single" w:sz="4" w:space="0" w:color="auto"/>
              <w:left w:val="nil"/>
              <w:bottom w:val="nil"/>
              <w:right w:val="nil"/>
            </w:tcBorders>
            <w:noWrap/>
            <w:vAlign w:val="center"/>
            <w:hideMark/>
          </w:tcPr>
          <w:p w14:paraId="1382C776"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2025</w:t>
            </w:r>
          </w:p>
        </w:tc>
        <w:tc>
          <w:tcPr>
            <w:tcW w:w="441" w:type="pct"/>
            <w:tcBorders>
              <w:top w:val="single" w:sz="4" w:space="0" w:color="auto"/>
              <w:left w:val="nil"/>
              <w:bottom w:val="nil"/>
              <w:right w:val="nil"/>
            </w:tcBorders>
            <w:vAlign w:val="center"/>
          </w:tcPr>
          <w:p w14:paraId="1B2AB8BC"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2025</w:t>
            </w:r>
          </w:p>
        </w:tc>
        <w:tc>
          <w:tcPr>
            <w:tcW w:w="498" w:type="pct"/>
            <w:tcBorders>
              <w:top w:val="single" w:sz="4" w:space="0" w:color="auto"/>
              <w:left w:val="nil"/>
              <w:bottom w:val="nil"/>
              <w:right w:val="nil"/>
            </w:tcBorders>
            <w:noWrap/>
            <w:vAlign w:val="center"/>
            <w:hideMark/>
          </w:tcPr>
          <w:p w14:paraId="50FDC6FB"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2026</w:t>
            </w:r>
          </w:p>
        </w:tc>
        <w:tc>
          <w:tcPr>
            <w:tcW w:w="465" w:type="pct"/>
            <w:tcBorders>
              <w:top w:val="single" w:sz="4" w:space="0" w:color="auto"/>
              <w:left w:val="nil"/>
              <w:bottom w:val="nil"/>
              <w:right w:val="nil"/>
            </w:tcBorders>
            <w:noWrap/>
            <w:vAlign w:val="center"/>
            <w:hideMark/>
          </w:tcPr>
          <w:p w14:paraId="32C77E59"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2027</w:t>
            </w:r>
          </w:p>
        </w:tc>
        <w:tc>
          <w:tcPr>
            <w:tcW w:w="465" w:type="pct"/>
            <w:tcBorders>
              <w:top w:val="single" w:sz="4" w:space="0" w:color="auto"/>
              <w:left w:val="nil"/>
              <w:bottom w:val="nil"/>
              <w:right w:val="single" w:sz="4" w:space="0" w:color="auto"/>
            </w:tcBorders>
            <w:noWrap/>
            <w:vAlign w:val="center"/>
            <w:hideMark/>
          </w:tcPr>
          <w:p w14:paraId="2A46FD24"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2028</w:t>
            </w:r>
          </w:p>
        </w:tc>
      </w:tr>
      <w:tr w:rsidR="00C96A6F" w:rsidRPr="00312485" w14:paraId="4542D6A5" w14:textId="77777777" w:rsidTr="00E245CF">
        <w:trPr>
          <w:trHeight w:val="258"/>
          <w:tblHeader/>
        </w:trPr>
        <w:tc>
          <w:tcPr>
            <w:tcW w:w="432" w:type="pct"/>
            <w:tcBorders>
              <w:top w:val="nil"/>
              <w:left w:val="single" w:sz="4" w:space="0" w:color="auto"/>
              <w:bottom w:val="single" w:sz="4" w:space="0" w:color="auto"/>
              <w:right w:val="nil"/>
            </w:tcBorders>
            <w:noWrap/>
            <w:vAlign w:val="center"/>
            <w:hideMark/>
          </w:tcPr>
          <w:p w14:paraId="01B2C942"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1413" w:type="pct"/>
            <w:tcBorders>
              <w:top w:val="nil"/>
              <w:left w:val="nil"/>
              <w:bottom w:val="single" w:sz="4" w:space="0" w:color="auto"/>
              <w:right w:val="single" w:sz="4" w:space="0" w:color="auto"/>
            </w:tcBorders>
            <w:noWrap/>
            <w:vAlign w:val="center"/>
            <w:hideMark/>
          </w:tcPr>
          <w:p w14:paraId="42DF8D51"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404" w:type="pct"/>
            <w:gridSpan w:val="2"/>
            <w:tcBorders>
              <w:top w:val="nil"/>
              <w:left w:val="single" w:sz="4" w:space="0" w:color="auto"/>
              <w:bottom w:val="single" w:sz="4" w:space="0" w:color="auto"/>
              <w:right w:val="nil"/>
            </w:tcBorders>
            <w:noWrap/>
            <w:vAlign w:val="center"/>
            <w:hideMark/>
          </w:tcPr>
          <w:p w14:paraId="153D4570"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Efectiv</w:t>
            </w:r>
          </w:p>
        </w:tc>
        <w:tc>
          <w:tcPr>
            <w:tcW w:w="434" w:type="pct"/>
            <w:tcBorders>
              <w:top w:val="nil"/>
              <w:left w:val="nil"/>
              <w:bottom w:val="single" w:sz="4" w:space="0" w:color="auto"/>
              <w:right w:val="nil"/>
            </w:tcBorders>
            <w:noWrap/>
            <w:vAlign w:val="center"/>
            <w:hideMark/>
          </w:tcPr>
          <w:p w14:paraId="6A9D9F38"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Efectiv</w:t>
            </w:r>
          </w:p>
        </w:tc>
        <w:tc>
          <w:tcPr>
            <w:tcW w:w="447" w:type="pct"/>
            <w:tcBorders>
              <w:top w:val="nil"/>
              <w:left w:val="nil"/>
              <w:bottom w:val="single" w:sz="4" w:space="0" w:color="auto"/>
              <w:right w:val="nil"/>
            </w:tcBorders>
            <w:noWrap/>
            <w:vAlign w:val="center"/>
            <w:hideMark/>
          </w:tcPr>
          <w:p w14:paraId="3BF216C3"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xml:space="preserve">Aprobat </w:t>
            </w:r>
          </w:p>
        </w:tc>
        <w:tc>
          <w:tcPr>
            <w:tcW w:w="441" w:type="pct"/>
            <w:tcBorders>
              <w:top w:val="nil"/>
              <w:left w:val="nil"/>
              <w:bottom w:val="single" w:sz="4" w:space="0" w:color="auto"/>
              <w:right w:val="nil"/>
            </w:tcBorders>
            <w:vAlign w:val="center"/>
          </w:tcPr>
          <w:p w14:paraId="51601480" w14:textId="77777777" w:rsidR="00C96A6F" w:rsidRPr="00312485" w:rsidRDefault="00C96A6F" w:rsidP="00C96A6F">
            <w:pPr>
              <w:shd w:val="clear" w:color="auto" w:fill="FFFFFF"/>
              <w:ind w:left="-12" w:firstLine="0"/>
              <w:jc w:val="center"/>
              <w:rPr>
                <w:rFonts w:eastAsia="Calibri"/>
                <w:b/>
                <w:bCs/>
                <w:color w:val="000000"/>
                <w:sz w:val="14"/>
                <w:szCs w:val="14"/>
                <w:lang w:val="ro-MD"/>
              </w:rPr>
            </w:pPr>
            <w:r w:rsidRPr="00312485">
              <w:rPr>
                <w:rFonts w:eastAsia="Calibri"/>
                <w:b/>
                <w:bCs/>
                <w:color w:val="000000"/>
                <w:sz w:val="14"/>
                <w:szCs w:val="14"/>
                <w:lang w:val="ro-MD"/>
              </w:rPr>
              <w:t xml:space="preserve">Modificat </w:t>
            </w:r>
          </w:p>
        </w:tc>
        <w:tc>
          <w:tcPr>
            <w:tcW w:w="498" w:type="pct"/>
            <w:tcBorders>
              <w:top w:val="nil"/>
              <w:left w:val="nil"/>
              <w:bottom w:val="single" w:sz="4" w:space="0" w:color="auto"/>
              <w:right w:val="nil"/>
            </w:tcBorders>
            <w:noWrap/>
            <w:vAlign w:val="center"/>
            <w:hideMark/>
          </w:tcPr>
          <w:p w14:paraId="6DFF4E49" w14:textId="77777777" w:rsidR="00C96A6F" w:rsidRPr="00312485" w:rsidRDefault="00C96A6F" w:rsidP="00C96A6F">
            <w:pPr>
              <w:shd w:val="clear" w:color="auto" w:fill="FFFFFF"/>
              <w:ind w:left="-12" w:firstLine="0"/>
              <w:jc w:val="center"/>
              <w:rPr>
                <w:rFonts w:eastAsia="Calibri"/>
                <w:b/>
                <w:bCs/>
                <w:color w:val="000000"/>
                <w:sz w:val="14"/>
                <w:szCs w:val="14"/>
                <w:lang w:val="ro-MD"/>
              </w:rPr>
            </w:pPr>
            <w:r w:rsidRPr="00312485">
              <w:rPr>
                <w:rFonts w:eastAsia="Calibri"/>
                <w:b/>
                <w:bCs/>
                <w:color w:val="000000"/>
                <w:sz w:val="14"/>
                <w:szCs w:val="14"/>
                <w:lang w:val="ro-MD"/>
              </w:rPr>
              <w:t>Prognozat</w:t>
            </w:r>
          </w:p>
        </w:tc>
        <w:tc>
          <w:tcPr>
            <w:tcW w:w="465" w:type="pct"/>
            <w:tcBorders>
              <w:top w:val="nil"/>
              <w:left w:val="nil"/>
              <w:bottom w:val="single" w:sz="4" w:space="0" w:color="auto"/>
              <w:right w:val="nil"/>
            </w:tcBorders>
            <w:noWrap/>
            <w:vAlign w:val="center"/>
            <w:hideMark/>
          </w:tcPr>
          <w:p w14:paraId="766B33E9"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Prognozat</w:t>
            </w:r>
          </w:p>
        </w:tc>
        <w:tc>
          <w:tcPr>
            <w:tcW w:w="465" w:type="pct"/>
            <w:tcBorders>
              <w:top w:val="nil"/>
              <w:left w:val="nil"/>
              <w:bottom w:val="single" w:sz="4" w:space="0" w:color="auto"/>
              <w:right w:val="single" w:sz="4" w:space="0" w:color="auto"/>
            </w:tcBorders>
            <w:noWrap/>
            <w:vAlign w:val="center"/>
            <w:hideMark/>
          </w:tcPr>
          <w:p w14:paraId="09B37958" w14:textId="77777777" w:rsidR="00C96A6F" w:rsidRPr="00312485" w:rsidRDefault="00C96A6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Prognozat</w:t>
            </w:r>
          </w:p>
        </w:tc>
      </w:tr>
      <w:tr w:rsidR="00E245CF" w:rsidRPr="00312485" w14:paraId="5917C8CA" w14:textId="77777777" w:rsidTr="00E245CF">
        <w:trPr>
          <w:trHeight w:val="258"/>
        </w:trPr>
        <w:tc>
          <w:tcPr>
            <w:tcW w:w="432" w:type="pct"/>
            <w:tcBorders>
              <w:top w:val="nil"/>
              <w:left w:val="nil"/>
              <w:bottom w:val="single" w:sz="4" w:space="0" w:color="auto"/>
              <w:right w:val="nil"/>
            </w:tcBorders>
            <w:noWrap/>
            <w:vAlign w:val="center"/>
            <w:hideMark/>
          </w:tcPr>
          <w:p w14:paraId="30316231" w14:textId="77777777" w:rsidR="00E245CF" w:rsidRPr="00312485" w:rsidRDefault="00E245C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1413" w:type="pct"/>
            <w:tcBorders>
              <w:top w:val="nil"/>
              <w:left w:val="nil"/>
              <w:bottom w:val="single" w:sz="4" w:space="0" w:color="auto"/>
              <w:right w:val="single" w:sz="4" w:space="0" w:color="auto"/>
            </w:tcBorders>
            <w:noWrap/>
            <w:vAlign w:val="center"/>
            <w:hideMark/>
          </w:tcPr>
          <w:p w14:paraId="7190BB01" w14:textId="77777777" w:rsidR="00E245CF" w:rsidRPr="00312485" w:rsidRDefault="00E245CF" w:rsidP="00C96A6F">
            <w:pPr>
              <w:shd w:val="clear" w:color="auto" w:fill="FFFFFF"/>
              <w:ind w:firstLine="0"/>
              <w:jc w:val="center"/>
              <w:rPr>
                <w:rFonts w:eastAsia="Calibri"/>
                <w:b/>
                <w:bCs/>
                <w:color w:val="000000"/>
                <w:sz w:val="14"/>
                <w:szCs w:val="14"/>
                <w:lang w:val="ro-MD"/>
              </w:rPr>
            </w:pPr>
            <w:r w:rsidRPr="00312485">
              <w:rPr>
                <w:rFonts w:eastAsia="Calibri"/>
                <w:b/>
                <w:bCs/>
                <w:color w:val="000000"/>
                <w:sz w:val="14"/>
                <w:szCs w:val="14"/>
                <w:lang w:val="ro-MD"/>
              </w:rPr>
              <w:t> </w:t>
            </w:r>
          </w:p>
        </w:tc>
        <w:tc>
          <w:tcPr>
            <w:tcW w:w="3155" w:type="pct"/>
            <w:gridSpan w:val="8"/>
            <w:tcBorders>
              <w:top w:val="single" w:sz="8" w:space="0" w:color="auto"/>
              <w:left w:val="single" w:sz="4" w:space="0" w:color="auto"/>
              <w:bottom w:val="single" w:sz="4" w:space="0" w:color="auto"/>
              <w:right w:val="nil"/>
            </w:tcBorders>
          </w:tcPr>
          <w:p w14:paraId="6928B0E9" w14:textId="77777777" w:rsidR="00E245CF" w:rsidRPr="00312485" w:rsidRDefault="00E245CF" w:rsidP="00C96A6F">
            <w:pPr>
              <w:shd w:val="clear" w:color="auto" w:fill="FFFFFF"/>
              <w:ind w:firstLine="0"/>
              <w:jc w:val="center"/>
              <w:rPr>
                <w:rFonts w:eastAsia="Calibri"/>
                <w:b/>
                <w:color w:val="000000"/>
                <w:sz w:val="14"/>
                <w:szCs w:val="14"/>
                <w:lang w:val="ro-MD"/>
              </w:rPr>
            </w:pPr>
            <w:r w:rsidRPr="00312485">
              <w:rPr>
                <w:rFonts w:eastAsia="Calibri"/>
                <w:b/>
                <w:color w:val="000000"/>
                <w:sz w:val="14"/>
                <w:szCs w:val="14"/>
                <w:lang w:val="ro-MD"/>
              </w:rPr>
              <w:t>mil. lei</w:t>
            </w:r>
          </w:p>
        </w:tc>
      </w:tr>
      <w:tr w:rsidR="00C96A6F" w:rsidRPr="00312485" w14:paraId="1CD3D04D"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007EC7AD"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Total venituri și granturi</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1ABEE69B" w14:textId="5C661C9C"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102</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299</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28A188FA" w14:textId="74AF0038"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110</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339</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5810946E" w14:textId="2270DCA1"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119</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253</w:t>
            </w:r>
          </w:p>
        </w:tc>
        <w:tc>
          <w:tcPr>
            <w:tcW w:w="441" w:type="pct"/>
            <w:tcBorders>
              <w:top w:val="single" w:sz="4" w:space="0" w:color="auto"/>
              <w:left w:val="single" w:sz="4" w:space="0" w:color="auto"/>
              <w:bottom w:val="single" w:sz="4" w:space="0" w:color="auto"/>
              <w:right w:val="single" w:sz="4" w:space="0" w:color="auto"/>
            </w:tcBorders>
            <w:vAlign w:val="center"/>
          </w:tcPr>
          <w:p w14:paraId="0F1B2B99" w14:textId="0ABCC96F"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124</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052</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20645078" w14:textId="0ADC968E"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131</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904</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36FD4CC" w14:textId="2B4FFB23"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143</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394</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44381B5" w14:textId="6F468FAE"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155</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806</w:t>
            </w:r>
          </w:p>
        </w:tc>
      </w:tr>
      <w:tr w:rsidR="00C96A6F" w:rsidRPr="00312485" w14:paraId="476144F6"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04EAE1C2"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Impozite și taxe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41E38367" w14:textId="0CCDE0B2"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63</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006</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5034DB89" w14:textId="3A0B3922"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68</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481</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16D6FDCC" w14:textId="72138B7A"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74</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440</w:t>
            </w:r>
          </w:p>
        </w:tc>
        <w:tc>
          <w:tcPr>
            <w:tcW w:w="441" w:type="pct"/>
            <w:tcBorders>
              <w:top w:val="single" w:sz="4" w:space="0" w:color="auto"/>
              <w:left w:val="single" w:sz="4" w:space="0" w:color="auto"/>
              <w:bottom w:val="single" w:sz="4" w:space="0" w:color="auto"/>
              <w:right w:val="single" w:sz="4" w:space="0" w:color="auto"/>
            </w:tcBorders>
            <w:vAlign w:val="center"/>
          </w:tcPr>
          <w:p w14:paraId="50D34B95" w14:textId="1A16B232"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74</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840</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507701D" w14:textId="2F240C12"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82</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428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1964F256" w14:textId="2F4F8124" w:rsidR="00C96A6F" w:rsidRPr="00312485" w:rsidRDefault="00C96A6F" w:rsidP="00007217">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89</w:t>
            </w:r>
            <w:r w:rsidR="00007217" w:rsidRPr="00312485">
              <w:rPr>
                <w:rFonts w:eastAsia="Calibri"/>
                <w:b/>
                <w:bCs/>
                <w:color w:val="000000"/>
                <w:sz w:val="14"/>
                <w:szCs w:val="14"/>
                <w:lang w:val="ro-MD"/>
              </w:rPr>
              <w:t xml:space="preserve"> </w:t>
            </w:r>
            <w:r w:rsidRPr="00312485">
              <w:rPr>
                <w:rFonts w:eastAsia="Calibri"/>
                <w:b/>
                <w:bCs/>
                <w:color w:val="000000"/>
                <w:sz w:val="14"/>
                <w:szCs w:val="14"/>
                <w:lang w:val="ro-MD"/>
              </w:rPr>
              <w:t>890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0B19300" w14:textId="2F0101AB"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9</w:t>
            </w:r>
            <w:r w:rsidR="00007217" w:rsidRPr="00312485">
              <w:rPr>
                <w:rFonts w:eastAsia="Calibri"/>
                <w:b/>
                <w:bCs/>
                <w:color w:val="000000"/>
                <w:sz w:val="14"/>
                <w:szCs w:val="14"/>
                <w:lang w:val="ro-MD"/>
              </w:rPr>
              <w:t xml:space="preserve">8 </w:t>
            </w:r>
            <w:r w:rsidRPr="00312485">
              <w:rPr>
                <w:rFonts w:eastAsia="Calibri"/>
                <w:b/>
                <w:bCs/>
                <w:color w:val="000000"/>
                <w:sz w:val="14"/>
                <w:szCs w:val="14"/>
                <w:lang w:val="ro-MD"/>
              </w:rPr>
              <w:t>000</w:t>
            </w:r>
          </w:p>
        </w:tc>
      </w:tr>
      <w:tr w:rsidR="00C96A6F" w:rsidRPr="00312485" w14:paraId="543E1A6B"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799F62A9" w14:textId="77777777" w:rsidR="00C96A6F" w:rsidRPr="00312485" w:rsidRDefault="00C96A6F" w:rsidP="00C96A6F">
            <w:pPr>
              <w:shd w:val="clear" w:color="auto" w:fill="FFFFFF"/>
              <w:ind w:firstLine="0"/>
              <w:jc w:val="left"/>
              <w:rPr>
                <w:rFonts w:eastAsia="Calibri"/>
                <w:b/>
                <w:bCs/>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7298F0AB"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 pe venitul persoanelor fizice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7055B2F3" w14:textId="3F67EB27"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7</w:t>
            </w:r>
            <w:r w:rsidR="00007217" w:rsidRPr="00312485">
              <w:rPr>
                <w:rFonts w:eastAsia="Calibri"/>
                <w:color w:val="000000"/>
                <w:sz w:val="14"/>
                <w:szCs w:val="14"/>
                <w:lang w:val="ro-MD"/>
              </w:rPr>
              <w:t xml:space="preserve"> </w:t>
            </w:r>
            <w:r w:rsidRPr="00312485">
              <w:rPr>
                <w:rFonts w:eastAsia="Calibri"/>
                <w:color w:val="000000"/>
                <w:sz w:val="14"/>
                <w:szCs w:val="14"/>
                <w:lang w:val="ro-MD"/>
              </w:rPr>
              <w:t>233</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22BF0499" w14:textId="56D2E294"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w:t>
            </w:r>
            <w:r w:rsidR="00007217" w:rsidRPr="00312485">
              <w:rPr>
                <w:rFonts w:eastAsia="Calibri"/>
                <w:color w:val="000000"/>
                <w:sz w:val="14"/>
                <w:szCs w:val="14"/>
                <w:lang w:val="ro-MD"/>
              </w:rPr>
              <w:t xml:space="preserve"> </w:t>
            </w:r>
            <w:r w:rsidRPr="00312485">
              <w:rPr>
                <w:rFonts w:eastAsia="Calibri"/>
                <w:color w:val="000000"/>
                <w:sz w:val="14"/>
                <w:szCs w:val="14"/>
                <w:lang w:val="ro-MD"/>
              </w:rPr>
              <w:t>670</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15201FDA" w14:textId="74756742"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550</w:t>
            </w:r>
          </w:p>
        </w:tc>
        <w:tc>
          <w:tcPr>
            <w:tcW w:w="441" w:type="pct"/>
            <w:tcBorders>
              <w:top w:val="single" w:sz="4" w:space="0" w:color="auto"/>
              <w:left w:val="single" w:sz="4" w:space="0" w:color="auto"/>
              <w:bottom w:val="single" w:sz="4" w:space="0" w:color="auto"/>
              <w:right w:val="single" w:sz="4" w:space="0" w:color="auto"/>
            </w:tcBorders>
            <w:vAlign w:val="center"/>
          </w:tcPr>
          <w:p w14:paraId="0C729F80" w14:textId="1ADFBCC2"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550</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245DB8E9" w14:textId="118B572A"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w:t>
            </w:r>
            <w:r w:rsidR="00007217" w:rsidRPr="00312485">
              <w:rPr>
                <w:rFonts w:eastAsia="Calibri"/>
                <w:color w:val="000000"/>
                <w:sz w:val="14"/>
                <w:szCs w:val="14"/>
                <w:lang w:val="ro-MD"/>
              </w:rPr>
              <w:t xml:space="preserve"> </w:t>
            </w:r>
            <w:r w:rsidRPr="00312485">
              <w:rPr>
                <w:rFonts w:eastAsia="Calibri"/>
                <w:color w:val="000000"/>
                <w:sz w:val="14"/>
                <w:szCs w:val="14"/>
                <w:lang w:val="ro-MD"/>
              </w:rPr>
              <w:t>640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A8B7A18" w14:textId="4FF8258B"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11</w:t>
            </w:r>
            <w:r w:rsidR="00007217" w:rsidRPr="00312485">
              <w:rPr>
                <w:rFonts w:eastAsia="Calibri"/>
                <w:color w:val="000000"/>
                <w:sz w:val="14"/>
                <w:szCs w:val="14"/>
                <w:lang w:val="ro-MD"/>
              </w:rPr>
              <w:t xml:space="preserve"> </w:t>
            </w:r>
            <w:r w:rsidRPr="00312485">
              <w:rPr>
                <w:rFonts w:eastAsia="Calibri"/>
                <w:color w:val="000000"/>
                <w:sz w:val="14"/>
                <w:szCs w:val="14"/>
                <w:lang w:val="ro-MD"/>
              </w:rPr>
              <w:t>693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13D7AE15" w14:textId="4147256F"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12</w:t>
            </w:r>
            <w:r w:rsidR="00007217" w:rsidRPr="00312485">
              <w:rPr>
                <w:rFonts w:eastAsia="Calibri"/>
                <w:color w:val="000000"/>
                <w:sz w:val="14"/>
                <w:szCs w:val="14"/>
                <w:lang w:val="ro-MD"/>
              </w:rPr>
              <w:t xml:space="preserve"> </w:t>
            </w:r>
            <w:r w:rsidRPr="00312485">
              <w:rPr>
                <w:rFonts w:eastAsia="Calibri"/>
                <w:color w:val="000000"/>
                <w:sz w:val="14"/>
                <w:szCs w:val="14"/>
                <w:lang w:val="ro-MD"/>
              </w:rPr>
              <w:t>866</w:t>
            </w:r>
          </w:p>
        </w:tc>
      </w:tr>
      <w:tr w:rsidR="00C96A6F" w:rsidRPr="00312485" w14:paraId="36BF9DD7"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6D885CF3"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2362CD91"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 pe venitul persoanelor juridice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074EDBF" w14:textId="28AE372A"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422</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40D18976" w14:textId="218D4AA8"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065</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41933BE0" w14:textId="48B1EA56"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696</w:t>
            </w:r>
          </w:p>
        </w:tc>
        <w:tc>
          <w:tcPr>
            <w:tcW w:w="441" w:type="pct"/>
            <w:tcBorders>
              <w:top w:val="single" w:sz="4" w:space="0" w:color="auto"/>
              <w:left w:val="single" w:sz="4" w:space="0" w:color="auto"/>
              <w:bottom w:val="single" w:sz="4" w:space="0" w:color="auto"/>
              <w:right w:val="single" w:sz="4" w:space="0" w:color="auto"/>
            </w:tcBorders>
            <w:vAlign w:val="center"/>
          </w:tcPr>
          <w:p w14:paraId="486CC935" w14:textId="4F76EB8A"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w:t>
            </w:r>
            <w:r w:rsidR="00007217" w:rsidRPr="00312485">
              <w:rPr>
                <w:rFonts w:eastAsia="Calibri"/>
                <w:color w:val="000000"/>
                <w:sz w:val="14"/>
                <w:szCs w:val="14"/>
                <w:lang w:val="ro-MD"/>
              </w:rPr>
              <w:t xml:space="preserve"> </w:t>
            </w:r>
            <w:r w:rsidRPr="00312485">
              <w:rPr>
                <w:rFonts w:eastAsia="Calibri"/>
                <w:color w:val="000000"/>
                <w:sz w:val="14"/>
                <w:szCs w:val="14"/>
                <w:lang w:val="ro-MD"/>
              </w:rPr>
              <w:t>696</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106FBF03" w14:textId="360B8ADD"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11</w:t>
            </w:r>
            <w:r w:rsidR="00007217" w:rsidRPr="00312485">
              <w:rPr>
                <w:rFonts w:eastAsia="Calibri"/>
                <w:color w:val="000000"/>
                <w:sz w:val="14"/>
                <w:szCs w:val="14"/>
                <w:lang w:val="ro-MD"/>
              </w:rPr>
              <w:t xml:space="preserve"> </w:t>
            </w:r>
            <w:r w:rsidRPr="00312485">
              <w:rPr>
                <w:rFonts w:eastAsia="Calibri"/>
                <w:color w:val="000000"/>
                <w:sz w:val="14"/>
                <w:szCs w:val="14"/>
                <w:lang w:val="ro-MD"/>
              </w:rPr>
              <w:t>244</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9FF97E1" w14:textId="3F03666D"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12</w:t>
            </w:r>
            <w:r w:rsidR="00007217" w:rsidRPr="00312485">
              <w:rPr>
                <w:rFonts w:eastAsia="Calibri"/>
                <w:color w:val="000000"/>
                <w:sz w:val="14"/>
                <w:szCs w:val="14"/>
                <w:lang w:val="ro-MD"/>
              </w:rPr>
              <w:t xml:space="preserve"> </w:t>
            </w:r>
            <w:r w:rsidRPr="00312485">
              <w:rPr>
                <w:rFonts w:eastAsia="Calibri"/>
                <w:color w:val="000000"/>
                <w:sz w:val="14"/>
                <w:szCs w:val="14"/>
                <w:lang w:val="ro-MD"/>
              </w:rPr>
              <w:t>863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D7258A5" w14:textId="16D7EF9D"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14</w:t>
            </w:r>
            <w:r w:rsidR="00007217" w:rsidRPr="00312485">
              <w:rPr>
                <w:rFonts w:eastAsia="Calibri"/>
                <w:color w:val="000000"/>
                <w:sz w:val="14"/>
                <w:szCs w:val="14"/>
                <w:lang w:val="ro-MD"/>
              </w:rPr>
              <w:t xml:space="preserve"> </w:t>
            </w:r>
            <w:r w:rsidRPr="00312485">
              <w:rPr>
                <w:rFonts w:eastAsia="Calibri"/>
                <w:color w:val="000000"/>
                <w:sz w:val="14"/>
                <w:szCs w:val="14"/>
                <w:lang w:val="ro-MD"/>
              </w:rPr>
              <w:t>495</w:t>
            </w:r>
          </w:p>
        </w:tc>
      </w:tr>
      <w:tr w:rsidR="00C96A6F" w:rsidRPr="00312485" w14:paraId="17189C32"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70170A28"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3EEDA48E"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TVA</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3DCEB786" w14:textId="72D7730C"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30</w:t>
            </w:r>
            <w:r w:rsidR="00007217" w:rsidRPr="00312485">
              <w:rPr>
                <w:rFonts w:eastAsia="Calibri"/>
                <w:color w:val="000000"/>
                <w:sz w:val="14"/>
                <w:szCs w:val="14"/>
                <w:lang w:val="ro-MD"/>
              </w:rPr>
              <w:t xml:space="preserve"> </w:t>
            </w:r>
            <w:r w:rsidRPr="00312485">
              <w:rPr>
                <w:rFonts w:eastAsia="Calibri"/>
                <w:color w:val="000000"/>
                <w:sz w:val="14"/>
                <w:szCs w:val="14"/>
                <w:lang w:val="ro-MD"/>
              </w:rPr>
              <w:t>209</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3E6364A6" w14:textId="47E2B5A0"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33</w:t>
            </w:r>
            <w:r w:rsidR="00007217" w:rsidRPr="00312485">
              <w:rPr>
                <w:rFonts w:eastAsia="Calibri"/>
                <w:color w:val="000000"/>
                <w:sz w:val="14"/>
                <w:szCs w:val="14"/>
                <w:lang w:val="ro-MD"/>
              </w:rPr>
              <w:t xml:space="preserve"> </w:t>
            </w:r>
            <w:r w:rsidRPr="00312485">
              <w:rPr>
                <w:rFonts w:eastAsia="Calibri"/>
                <w:color w:val="000000"/>
                <w:sz w:val="14"/>
                <w:szCs w:val="14"/>
                <w:lang w:val="ro-MD"/>
              </w:rPr>
              <w:t>410</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06190D66" w14:textId="19762A77"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36 </w:t>
            </w:r>
            <w:r w:rsidR="00C96A6F" w:rsidRPr="00312485">
              <w:rPr>
                <w:rFonts w:eastAsia="Calibri"/>
                <w:color w:val="000000"/>
                <w:sz w:val="14"/>
                <w:szCs w:val="14"/>
                <w:lang w:val="ro-MD"/>
              </w:rPr>
              <w:t>553</w:t>
            </w:r>
          </w:p>
        </w:tc>
        <w:tc>
          <w:tcPr>
            <w:tcW w:w="441" w:type="pct"/>
            <w:tcBorders>
              <w:top w:val="single" w:sz="4" w:space="0" w:color="auto"/>
              <w:left w:val="single" w:sz="4" w:space="0" w:color="auto"/>
              <w:bottom w:val="single" w:sz="4" w:space="0" w:color="auto"/>
              <w:right w:val="single" w:sz="4" w:space="0" w:color="auto"/>
            </w:tcBorders>
            <w:vAlign w:val="center"/>
          </w:tcPr>
          <w:p w14:paraId="0A23B469" w14:textId="00F76094"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36 </w:t>
            </w:r>
            <w:r w:rsidR="00C96A6F" w:rsidRPr="00312485">
              <w:rPr>
                <w:rFonts w:eastAsia="Calibri"/>
                <w:color w:val="000000"/>
                <w:sz w:val="14"/>
                <w:szCs w:val="14"/>
                <w:lang w:val="ro-MD"/>
              </w:rPr>
              <w:t>953</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16CCD605" w14:textId="27CDDB08"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40</w:t>
            </w:r>
            <w:r w:rsidR="00007217" w:rsidRPr="00312485">
              <w:rPr>
                <w:rFonts w:eastAsia="Calibri"/>
                <w:color w:val="000000"/>
                <w:sz w:val="14"/>
                <w:szCs w:val="14"/>
                <w:lang w:val="ro-MD"/>
              </w:rPr>
              <w:t xml:space="preserve"> </w:t>
            </w:r>
            <w:r w:rsidRPr="00312485">
              <w:rPr>
                <w:rFonts w:eastAsia="Calibri"/>
                <w:color w:val="000000"/>
                <w:sz w:val="14"/>
                <w:szCs w:val="14"/>
                <w:lang w:val="ro-MD"/>
              </w:rPr>
              <w:t>667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B3B484B" w14:textId="6AA10CCA"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4</w:t>
            </w:r>
            <w:r w:rsidR="00007217" w:rsidRPr="00312485">
              <w:rPr>
                <w:rFonts w:eastAsia="Calibri"/>
                <w:color w:val="000000"/>
                <w:sz w:val="14"/>
                <w:szCs w:val="14"/>
                <w:lang w:val="ro-MD"/>
              </w:rPr>
              <w:t xml:space="preserve">3 </w:t>
            </w:r>
            <w:r w:rsidRPr="00312485">
              <w:rPr>
                <w:rFonts w:eastAsia="Calibri"/>
                <w:color w:val="000000"/>
                <w:sz w:val="14"/>
                <w:szCs w:val="14"/>
                <w:lang w:val="ro-MD"/>
              </w:rPr>
              <w:t>942</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C515437" w14:textId="43288171"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47</w:t>
            </w:r>
            <w:r w:rsidR="00007217" w:rsidRPr="00312485">
              <w:rPr>
                <w:rFonts w:eastAsia="Calibri"/>
                <w:color w:val="000000"/>
                <w:sz w:val="14"/>
                <w:szCs w:val="14"/>
                <w:lang w:val="ro-MD"/>
              </w:rPr>
              <w:t xml:space="preserve"> </w:t>
            </w:r>
            <w:r w:rsidRPr="00312485">
              <w:rPr>
                <w:rFonts w:eastAsia="Calibri"/>
                <w:color w:val="000000"/>
                <w:sz w:val="14"/>
                <w:szCs w:val="14"/>
                <w:lang w:val="ro-MD"/>
              </w:rPr>
              <w:t>713</w:t>
            </w:r>
          </w:p>
        </w:tc>
      </w:tr>
      <w:tr w:rsidR="00C96A6F" w:rsidRPr="00312485" w14:paraId="1EECE768"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262CF851"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263F0036"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Accize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59F7E7B7" w14:textId="5D564935"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w:t>
            </w:r>
            <w:r w:rsidR="00007217" w:rsidRPr="00312485">
              <w:rPr>
                <w:rFonts w:eastAsia="Calibri"/>
                <w:color w:val="000000"/>
                <w:sz w:val="14"/>
                <w:szCs w:val="14"/>
                <w:lang w:val="ro-MD"/>
              </w:rPr>
              <w:t xml:space="preserve"> </w:t>
            </w:r>
            <w:r w:rsidRPr="00312485">
              <w:rPr>
                <w:rFonts w:eastAsia="Calibri"/>
                <w:color w:val="000000"/>
                <w:sz w:val="14"/>
                <w:szCs w:val="14"/>
                <w:lang w:val="ro-MD"/>
              </w:rPr>
              <w:t>138</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168137FE" w14:textId="3083C4A1"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11 </w:t>
            </w:r>
            <w:r w:rsidR="00C96A6F" w:rsidRPr="00312485">
              <w:rPr>
                <w:rFonts w:eastAsia="Calibri"/>
                <w:color w:val="000000"/>
                <w:sz w:val="14"/>
                <w:szCs w:val="14"/>
                <w:lang w:val="ro-MD"/>
              </w:rPr>
              <w:t>448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764DBCF3" w14:textId="25155DE0"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12</w:t>
            </w:r>
            <w:r w:rsidR="00007217" w:rsidRPr="00312485">
              <w:rPr>
                <w:rFonts w:eastAsia="Calibri"/>
                <w:color w:val="000000"/>
                <w:sz w:val="14"/>
                <w:szCs w:val="14"/>
                <w:lang w:val="ro-MD"/>
              </w:rPr>
              <w:t xml:space="preserve"> </w:t>
            </w:r>
            <w:r w:rsidRPr="00312485">
              <w:rPr>
                <w:rFonts w:eastAsia="Calibri"/>
                <w:color w:val="000000"/>
                <w:sz w:val="14"/>
                <w:szCs w:val="14"/>
                <w:lang w:val="ro-MD"/>
              </w:rPr>
              <w:t>691</w:t>
            </w:r>
          </w:p>
        </w:tc>
        <w:tc>
          <w:tcPr>
            <w:tcW w:w="441" w:type="pct"/>
            <w:tcBorders>
              <w:top w:val="single" w:sz="4" w:space="0" w:color="auto"/>
              <w:left w:val="single" w:sz="4" w:space="0" w:color="auto"/>
              <w:bottom w:val="single" w:sz="4" w:space="0" w:color="auto"/>
              <w:right w:val="single" w:sz="4" w:space="0" w:color="auto"/>
            </w:tcBorders>
            <w:vAlign w:val="center"/>
          </w:tcPr>
          <w:p w14:paraId="1F56A087" w14:textId="4D274D86"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12</w:t>
            </w:r>
            <w:r w:rsidR="00007217" w:rsidRPr="00312485">
              <w:rPr>
                <w:rFonts w:eastAsia="Calibri"/>
                <w:color w:val="000000"/>
                <w:sz w:val="14"/>
                <w:szCs w:val="14"/>
                <w:lang w:val="ro-MD"/>
              </w:rPr>
              <w:t xml:space="preserve"> </w:t>
            </w:r>
            <w:r w:rsidRPr="00312485">
              <w:rPr>
                <w:rFonts w:eastAsia="Calibri"/>
                <w:color w:val="000000"/>
                <w:sz w:val="14"/>
                <w:szCs w:val="14"/>
                <w:lang w:val="ro-MD"/>
              </w:rPr>
              <w:t>691</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9592466" w14:textId="208634C7"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13</w:t>
            </w:r>
            <w:r w:rsidR="00007217" w:rsidRPr="00312485">
              <w:rPr>
                <w:rFonts w:eastAsia="Calibri"/>
                <w:color w:val="000000"/>
                <w:sz w:val="14"/>
                <w:szCs w:val="14"/>
                <w:lang w:val="ro-MD"/>
              </w:rPr>
              <w:t xml:space="preserve"> </w:t>
            </w:r>
            <w:r w:rsidRPr="00312485">
              <w:rPr>
                <w:rFonts w:eastAsia="Calibri"/>
                <w:color w:val="000000"/>
                <w:sz w:val="14"/>
                <w:szCs w:val="14"/>
                <w:lang w:val="ro-MD"/>
              </w:rPr>
              <w:t>467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BD6303A" w14:textId="1ABF61D3"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w:t>
            </w:r>
            <w:r w:rsidR="00007217" w:rsidRPr="00312485">
              <w:rPr>
                <w:rFonts w:eastAsia="Calibri"/>
                <w:color w:val="000000"/>
                <w:sz w:val="14"/>
                <w:szCs w:val="14"/>
                <w:lang w:val="ro-MD"/>
              </w:rPr>
              <w:t xml:space="preserve">4 </w:t>
            </w:r>
            <w:r w:rsidRPr="00312485">
              <w:rPr>
                <w:rFonts w:eastAsia="Calibri"/>
                <w:color w:val="000000"/>
                <w:sz w:val="14"/>
                <w:szCs w:val="14"/>
                <w:lang w:val="ro-MD"/>
              </w:rPr>
              <w:t>602</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304EC5F" w14:textId="1E257F7C"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15 </w:t>
            </w:r>
            <w:r w:rsidR="00C96A6F" w:rsidRPr="00312485">
              <w:rPr>
                <w:rFonts w:eastAsia="Calibri"/>
                <w:color w:val="000000"/>
                <w:sz w:val="14"/>
                <w:szCs w:val="14"/>
                <w:lang w:val="ro-MD"/>
              </w:rPr>
              <w:t>821</w:t>
            </w:r>
          </w:p>
        </w:tc>
      </w:tr>
      <w:tr w:rsidR="00C96A6F" w:rsidRPr="00312485" w14:paraId="6A7F55DE"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01765408"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338262D1"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Taxe asupra comerțului exterior</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C15B057" w14:textId="68B70578"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2 </w:t>
            </w:r>
            <w:r w:rsidR="00C96A6F" w:rsidRPr="00312485">
              <w:rPr>
                <w:rFonts w:eastAsia="Calibri"/>
                <w:color w:val="000000"/>
                <w:sz w:val="14"/>
                <w:szCs w:val="14"/>
                <w:lang w:val="ro-MD"/>
              </w:rPr>
              <w:t>812</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571AB25D" w14:textId="0086FABC"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007217" w:rsidRPr="00312485">
              <w:rPr>
                <w:rFonts w:eastAsia="Calibri"/>
                <w:color w:val="000000"/>
                <w:sz w:val="14"/>
                <w:szCs w:val="14"/>
                <w:lang w:val="ro-MD"/>
              </w:rPr>
              <w:t xml:space="preserve"> </w:t>
            </w:r>
            <w:r w:rsidRPr="00312485">
              <w:rPr>
                <w:rFonts w:eastAsia="Calibri"/>
                <w:color w:val="000000"/>
                <w:sz w:val="14"/>
                <w:szCs w:val="14"/>
                <w:lang w:val="ro-MD"/>
              </w:rPr>
              <w:t>579</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3639772F" w14:textId="0F8FDBE4"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007217" w:rsidRPr="00312485">
              <w:rPr>
                <w:rFonts w:eastAsia="Calibri"/>
                <w:color w:val="000000"/>
                <w:sz w:val="14"/>
                <w:szCs w:val="14"/>
                <w:lang w:val="ro-MD"/>
              </w:rPr>
              <w:t xml:space="preserve"> </w:t>
            </w:r>
            <w:r w:rsidRPr="00312485">
              <w:rPr>
                <w:rFonts w:eastAsia="Calibri"/>
                <w:color w:val="000000"/>
                <w:sz w:val="14"/>
                <w:szCs w:val="14"/>
                <w:lang w:val="ro-MD"/>
              </w:rPr>
              <w:t>806</w:t>
            </w:r>
          </w:p>
        </w:tc>
        <w:tc>
          <w:tcPr>
            <w:tcW w:w="441" w:type="pct"/>
            <w:tcBorders>
              <w:top w:val="single" w:sz="4" w:space="0" w:color="auto"/>
              <w:left w:val="single" w:sz="4" w:space="0" w:color="auto"/>
              <w:bottom w:val="single" w:sz="4" w:space="0" w:color="auto"/>
              <w:right w:val="single" w:sz="4" w:space="0" w:color="auto"/>
            </w:tcBorders>
            <w:vAlign w:val="center"/>
          </w:tcPr>
          <w:p w14:paraId="559E1CB1" w14:textId="3139161E"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007217" w:rsidRPr="00312485">
              <w:rPr>
                <w:rFonts w:eastAsia="Calibri"/>
                <w:color w:val="000000"/>
                <w:sz w:val="14"/>
                <w:szCs w:val="14"/>
                <w:lang w:val="ro-MD"/>
              </w:rPr>
              <w:t xml:space="preserve"> </w:t>
            </w:r>
            <w:r w:rsidRPr="00312485">
              <w:rPr>
                <w:rFonts w:eastAsia="Calibri"/>
                <w:color w:val="000000"/>
                <w:sz w:val="14"/>
                <w:szCs w:val="14"/>
                <w:lang w:val="ro-MD"/>
              </w:rPr>
              <w:t>806</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2DBF8B3E" w14:textId="2F58D129"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w:t>
            </w:r>
            <w:r w:rsidR="00007217" w:rsidRPr="00312485">
              <w:rPr>
                <w:rFonts w:eastAsia="Calibri"/>
                <w:color w:val="000000"/>
                <w:sz w:val="14"/>
                <w:szCs w:val="14"/>
                <w:lang w:val="ro-MD"/>
              </w:rPr>
              <w:t xml:space="preserve"> </w:t>
            </w:r>
            <w:r w:rsidRPr="00312485">
              <w:rPr>
                <w:rFonts w:eastAsia="Calibri"/>
                <w:color w:val="000000"/>
                <w:sz w:val="14"/>
                <w:szCs w:val="14"/>
                <w:lang w:val="ro-MD"/>
              </w:rPr>
              <w:t>038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84D944E" w14:textId="0C11543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w:t>
            </w:r>
            <w:r w:rsidR="00007217" w:rsidRPr="00312485">
              <w:rPr>
                <w:rFonts w:eastAsia="Calibri"/>
                <w:color w:val="000000"/>
                <w:sz w:val="14"/>
                <w:szCs w:val="14"/>
                <w:lang w:val="ro-MD"/>
              </w:rPr>
              <w:t xml:space="preserve"> </w:t>
            </w:r>
            <w:r w:rsidRPr="00312485">
              <w:rPr>
                <w:rFonts w:eastAsia="Calibri"/>
                <w:color w:val="000000"/>
                <w:sz w:val="14"/>
                <w:szCs w:val="14"/>
                <w:lang w:val="ro-MD"/>
              </w:rPr>
              <w:t>261</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33F3274" w14:textId="23375B0A"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3 </w:t>
            </w:r>
            <w:r w:rsidR="00C96A6F" w:rsidRPr="00312485">
              <w:rPr>
                <w:rFonts w:eastAsia="Calibri"/>
                <w:color w:val="000000"/>
                <w:sz w:val="14"/>
                <w:szCs w:val="14"/>
                <w:lang w:val="ro-MD"/>
              </w:rPr>
              <w:t>445</w:t>
            </w:r>
          </w:p>
        </w:tc>
      </w:tr>
      <w:tr w:rsidR="00C96A6F" w:rsidRPr="00312485" w14:paraId="06999F78" w14:textId="77777777" w:rsidTr="00E245CF">
        <w:trPr>
          <w:trHeight w:val="245"/>
        </w:trPr>
        <w:tc>
          <w:tcPr>
            <w:tcW w:w="432" w:type="pct"/>
            <w:tcBorders>
              <w:top w:val="single" w:sz="4" w:space="0" w:color="auto"/>
              <w:left w:val="single" w:sz="4" w:space="0" w:color="auto"/>
              <w:bottom w:val="single" w:sz="4" w:space="0" w:color="auto"/>
            </w:tcBorders>
            <w:noWrap/>
            <w:vAlign w:val="bottom"/>
            <w:hideMark/>
          </w:tcPr>
          <w:p w14:paraId="320E1BA9"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6247FF74"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Impozite pe proprietate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7F1FF5E7"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794</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0829AD4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836</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41E9817E"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835</w:t>
            </w:r>
          </w:p>
        </w:tc>
        <w:tc>
          <w:tcPr>
            <w:tcW w:w="441" w:type="pct"/>
            <w:tcBorders>
              <w:top w:val="single" w:sz="4" w:space="0" w:color="auto"/>
              <w:left w:val="single" w:sz="4" w:space="0" w:color="auto"/>
              <w:bottom w:val="single" w:sz="4" w:space="0" w:color="auto"/>
              <w:right w:val="single" w:sz="4" w:space="0" w:color="auto"/>
            </w:tcBorders>
            <w:vAlign w:val="center"/>
          </w:tcPr>
          <w:p w14:paraId="36198C8D"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835</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0D31C588"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876</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973B0BF"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887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6506E05"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925</w:t>
            </w:r>
          </w:p>
        </w:tc>
      </w:tr>
      <w:tr w:rsidR="00C96A6F" w:rsidRPr="00312485" w14:paraId="4FC5A3FD" w14:textId="77777777" w:rsidTr="00E245CF">
        <w:trPr>
          <w:trHeight w:val="245"/>
        </w:trPr>
        <w:tc>
          <w:tcPr>
            <w:tcW w:w="432" w:type="pct"/>
            <w:tcBorders>
              <w:top w:val="single" w:sz="4" w:space="0" w:color="auto"/>
              <w:left w:val="single" w:sz="4" w:space="0" w:color="auto"/>
              <w:bottom w:val="single" w:sz="4" w:space="0" w:color="auto"/>
            </w:tcBorders>
            <w:noWrap/>
            <w:vAlign w:val="bottom"/>
          </w:tcPr>
          <w:p w14:paraId="4E877691" w14:textId="77777777" w:rsidR="00C96A6F" w:rsidRPr="00312485" w:rsidRDefault="00C96A6F" w:rsidP="00C96A6F">
            <w:pPr>
              <w:shd w:val="clear" w:color="auto" w:fill="FFFFFF"/>
              <w:ind w:firstLine="0"/>
              <w:jc w:val="right"/>
              <w:rPr>
                <w:rFonts w:eastAsia="Calibri"/>
                <w:color w:val="000000"/>
                <w:sz w:val="14"/>
                <w:szCs w:val="14"/>
                <w:lang w:val="ro-MD"/>
              </w:rPr>
            </w:pPr>
          </w:p>
        </w:tc>
        <w:tc>
          <w:tcPr>
            <w:tcW w:w="1413" w:type="pct"/>
            <w:tcBorders>
              <w:top w:val="single" w:sz="4" w:space="0" w:color="auto"/>
              <w:bottom w:val="single" w:sz="4" w:space="0" w:color="auto"/>
              <w:right w:val="single" w:sz="4" w:space="0" w:color="auto"/>
            </w:tcBorders>
            <w:noWrap/>
            <w:vAlign w:val="center"/>
            <w:hideMark/>
          </w:tcPr>
          <w:p w14:paraId="3DDC6674" w14:textId="77777777" w:rsidR="00C96A6F" w:rsidRPr="00312485" w:rsidRDefault="00C96A6F" w:rsidP="00C96A6F">
            <w:pPr>
              <w:shd w:val="clear" w:color="auto" w:fill="FFFFFF"/>
              <w:ind w:firstLine="0"/>
              <w:jc w:val="left"/>
              <w:rPr>
                <w:rFonts w:eastAsia="Calibri"/>
                <w:color w:val="000000"/>
                <w:sz w:val="14"/>
                <w:szCs w:val="14"/>
                <w:lang w:val="ro-MD"/>
              </w:rPr>
            </w:pPr>
            <w:r w:rsidRPr="00312485">
              <w:rPr>
                <w:rFonts w:eastAsia="Calibri"/>
                <w:color w:val="000000"/>
                <w:sz w:val="14"/>
                <w:szCs w:val="14"/>
                <w:lang w:val="ro-MD"/>
              </w:rPr>
              <w:t>Alte impozite si taxe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4B533872" w14:textId="1BC0164F" w:rsidR="00C96A6F" w:rsidRPr="00312485" w:rsidRDefault="00007217"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 xml:space="preserve">2 </w:t>
            </w:r>
            <w:r w:rsidR="00C96A6F" w:rsidRPr="00312485">
              <w:rPr>
                <w:rFonts w:eastAsia="Calibri"/>
                <w:color w:val="000000"/>
                <w:sz w:val="14"/>
                <w:szCs w:val="14"/>
                <w:lang w:val="ro-MD"/>
              </w:rPr>
              <w:t>399</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52A9521E" w14:textId="0C97EA1A"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007217" w:rsidRPr="00312485">
              <w:rPr>
                <w:rFonts w:eastAsia="Calibri"/>
                <w:color w:val="000000"/>
                <w:sz w:val="14"/>
                <w:szCs w:val="14"/>
                <w:lang w:val="ro-MD"/>
              </w:rPr>
              <w:t xml:space="preserve"> </w:t>
            </w:r>
            <w:r w:rsidRPr="00312485">
              <w:rPr>
                <w:rFonts w:eastAsia="Calibri"/>
                <w:color w:val="000000"/>
                <w:sz w:val="14"/>
                <w:szCs w:val="14"/>
                <w:lang w:val="ro-MD"/>
              </w:rPr>
              <w:t>474</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44C02788" w14:textId="28234978" w:rsidR="00C96A6F" w:rsidRPr="00312485" w:rsidRDefault="00C96A6F" w:rsidP="00007217">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007217" w:rsidRPr="00312485">
              <w:rPr>
                <w:rFonts w:eastAsia="Calibri"/>
                <w:color w:val="000000"/>
                <w:sz w:val="14"/>
                <w:szCs w:val="14"/>
                <w:lang w:val="ro-MD"/>
              </w:rPr>
              <w:t xml:space="preserve"> </w:t>
            </w:r>
            <w:r w:rsidRPr="00312485">
              <w:rPr>
                <w:rFonts w:eastAsia="Calibri"/>
                <w:color w:val="000000"/>
                <w:sz w:val="14"/>
                <w:szCs w:val="14"/>
                <w:lang w:val="ro-MD"/>
              </w:rPr>
              <w:t>310</w:t>
            </w:r>
          </w:p>
        </w:tc>
        <w:tc>
          <w:tcPr>
            <w:tcW w:w="441" w:type="pct"/>
            <w:tcBorders>
              <w:top w:val="single" w:sz="4" w:space="0" w:color="auto"/>
              <w:left w:val="single" w:sz="4" w:space="0" w:color="auto"/>
              <w:bottom w:val="single" w:sz="4" w:space="0" w:color="auto"/>
              <w:right w:val="single" w:sz="4" w:space="0" w:color="auto"/>
            </w:tcBorders>
            <w:vAlign w:val="center"/>
          </w:tcPr>
          <w:p w14:paraId="1AB9760F" w14:textId="5443FFCA" w:rsidR="00C96A6F" w:rsidRPr="00312485" w:rsidRDefault="00C96A6F" w:rsidP="00816D5A">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816D5A" w:rsidRPr="00312485">
              <w:rPr>
                <w:rFonts w:eastAsia="Calibri"/>
                <w:color w:val="000000"/>
                <w:sz w:val="14"/>
                <w:szCs w:val="14"/>
                <w:lang w:val="ro-MD"/>
              </w:rPr>
              <w:t xml:space="preserve"> </w:t>
            </w:r>
            <w:r w:rsidRPr="00312485">
              <w:rPr>
                <w:rFonts w:eastAsia="Calibri"/>
                <w:color w:val="000000"/>
                <w:sz w:val="14"/>
                <w:szCs w:val="14"/>
                <w:lang w:val="ro-MD"/>
              </w:rPr>
              <w:t>310</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7F2D545" w14:textId="36A3E467" w:rsidR="00C96A6F" w:rsidRPr="00312485" w:rsidRDefault="00C96A6F" w:rsidP="00816D5A">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816D5A" w:rsidRPr="00312485">
              <w:rPr>
                <w:rFonts w:eastAsia="Calibri"/>
                <w:color w:val="000000"/>
                <w:sz w:val="14"/>
                <w:szCs w:val="14"/>
                <w:lang w:val="ro-MD"/>
              </w:rPr>
              <w:t xml:space="preserve"> </w:t>
            </w:r>
            <w:r w:rsidRPr="00312485">
              <w:rPr>
                <w:rFonts w:eastAsia="Calibri"/>
                <w:color w:val="000000"/>
                <w:sz w:val="14"/>
                <w:szCs w:val="14"/>
                <w:lang w:val="ro-MD"/>
              </w:rPr>
              <w:t>496</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19EC9E45" w14:textId="35F0E5AC" w:rsidR="00C96A6F" w:rsidRPr="00312485" w:rsidRDefault="00C96A6F" w:rsidP="00816D5A">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816D5A" w:rsidRPr="00312485">
              <w:rPr>
                <w:rFonts w:eastAsia="Calibri"/>
                <w:color w:val="000000"/>
                <w:sz w:val="14"/>
                <w:szCs w:val="14"/>
                <w:lang w:val="ro-MD"/>
              </w:rPr>
              <w:t xml:space="preserve"> </w:t>
            </w:r>
            <w:r w:rsidRPr="00312485">
              <w:rPr>
                <w:rFonts w:eastAsia="Calibri"/>
                <w:color w:val="000000"/>
                <w:sz w:val="14"/>
                <w:szCs w:val="14"/>
                <w:lang w:val="ro-MD"/>
              </w:rPr>
              <w:t>643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5808D9E" w14:textId="580C37D3" w:rsidR="00C96A6F" w:rsidRPr="00312485" w:rsidRDefault="00C96A6F" w:rsidP="00816D5A">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w:t>
            </w:r>
            <w:r w:rsidR="00816D5A" w:rsidRPr="00312485">
              <w:rPr>
                <w:rFonts w:eastAsia="Calibri"/>
                <w:color w:val="000000"/>
                <w:sz w:val="14"/>
                <w:szCs w:val="14"/>
                <w:lang w:val="ro-MD"/>
              </w:rPr>
              <w:t xml:space="preserve"> </w:t>
            </w:r>
            <w:r w:rsidRPr="00312485">
              <w:rPr>
                <w:rFonts w:eastAsia="Calibri"/>
                <w:color w:val="000000"/>
                <w:sz w:val="14"/>
                <w:szCs w:val="14"/>
                <w:lang w:val="ro-MD"/>
              </w:rPr>
              <w:t>736</w:t>
            </w:r>
          </w:p>
        </w:tc>
      </w:tr>
      <w:tr w:rsidR="00C96A6F" w:rsidRPr="00312485" w14:paraId="34130553"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bottom"/>
            <w:hideMark/>
          </w:tcPr>
          <w:p w14:paraId="6C310696" w14:textId="77777777" w:rsidR="00C96A6F" w:rsidRPr="00312485" w:rsidRDefault="00C96A6F" w:rsidP="00C96A6F">
            <w:pPr>
              <w:shd w:val="clear" w:color="auto" w:fill="FFFFFF"/>
              <w:ind w:firstLine="0"/>
              <w:jc w:val="left"/>
              <w:rPr>
                <w:rFonts w:eastAsia="Calibri"/>
                <w:b/>
                <w:color w:val="000000"/>
                <w:sz w:val="14"/>
                <w:szCs w:val="14"/>
                <w:lang w:val="ro-MD"/>
              </w:rPr>
            </w:pPr>
            <w:r w:rsidRPr="00312485">
              <w:rPr>
                <w:rFonts w:eastAsia="Calibri"/>
                <w:b/>
                <w:color w:val="000000"/>
                <w:sz w:val="14"/>
                <w:szCs w:val="14"/>
                <w:lang w:val="ro-MD"/>
              </w:rPr>
              <w:t>Contribuții de asigurări sociale de stat</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FD694FD" w14:textId="1828604C" w:rsidR="00C96A6F" w:rsidRPr="00312485" w:rsidRDefault="00816D5A"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21 </w:t>
            </w:r>
            <w:r w:rsidR="00C96A6F" w:rsidRPr="00312485">
              <w:rPr>
                <w:rFonts w:eastAsia="Calibri"/>
                <w:b/>
                <w:color w:val="000000"/>
                <w:sz w:val="14"/>
                <w:szCs w:val="14"/>
                <w:lang w:val="ro-MD"/>
              </w:rPr>
              <w:t>524</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561E8859" w14:textId="34CC6E92" w:rsidR="00C96A6F" w:rsidRPr="00312485" w:rsidRDefault="00C96A6F" w:rsidP="00816D5A">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24</w:t>
            </w:r>
            <w:r w:rsidR="00816D5A" w:rsidRPr="00312485">
              <w:rPr>
                <w:rFonts w:eastAsia="Calibri"/>
                <w:b/>
                <w:color w:val="000000"/>
                <w:sz w:val="14"/>
                <w:szCs w:val="14"/>
                <w:lang w:val="ro-MD"/>
              </w:rPr>
              <w:t xml:space="preserve"> </w:t>
            </w:r>
            <w:r w:rsidRPr="00312485">
              <w:rPr>
                <w:rFonts w:eastAsia="Calibri"/>
                <w:b/>
                <w:color w:val="000000"/>
                <w:sz w:val="14"/>
                <w:szCs w:val="14"/>
                <w:lang w:val="ro-MD"/>
              </w:rPr>
              <w:t>879</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6C61A163" w14:textId="4B2FC95F"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w:t>
            </w:r>
            <w:r w:rsidR="00816D5A" w:rsidRPr="00312485">
              <w:rPr>
                <w:rFonts w:eastAsia="Calibri"/>
                <w:b/>
                <w:color w:val="000000"/>
                <w:sz w:val="14"/>
                <w:szCs w:val="14"/>
                <w:lang w:val="ro-MD"/>
              </w:rPr>
              <w:t xml:space="preserve">7 </w:t>
            </w:r>
            <w:r w:rsidRPr="00312485">
              <w:rPr>
                <w:rFonts w:eastAsia="Calibri"/>
                <w:b/>
                <w:color w:val="000000"/>
                <w:sz w:val="14"/>
                <w:szCs w:val="14"/>
                <w:lang w:val="ro-MD"/>
              </w:rPr>
              <w:t>823</w:t>
            </w:r>
          </w:p>
        </w:tc>
        <w:tc>
          <w:tcPr>
            <w:tcW w:w="441" w:type="pct"/>
            <w:tcBorders>
              <w:top w:val="single" w:sz="4" w:space="0" w:color="auto"/>
              <w:left w:val="single" w:sz="4" w:space="0" w:color="auto"/>
              <w:bottom w:val="single" w:sz="4" w:space="0" w:color="auto"/>
              <w:right w:val="single" w:sz="4" w:space="0" w:color="auto"/>
            </w:tcBorders>
            <w:vAlign w:val="center"/>
          </w:tcPr>
          <w:p w14:paraId="787931BF" w14:textId="125A5F24" w:rsidR="00C96A6F" w:rsidRPr="00312485" w:rsidRDefault="00C96A6F" w:rsidP="00816D5A">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28</w:t>
            </w:r>
            <w:r w:rsidR="00816D5A" w:rsidRPr="00312485">
              <w:rPr>
                <w:rFonts w:eastAsia="Calibri"/>
                <w:b/>
                <w:color w:val="000000"/>
                <w:sz w:val="14"/>
                <w:szCs w:val="14"/>
                <w:lang w:val="ro-MD"/>
              </w:rPr>
              <w:t xml:space="preserve"> </w:t>
            </w:r>
            <w:r w:rsidRPr="00312485">
              <w:rPr>
                <w:rFonts w:eastAsia="Calibri"/>
                <w:b/>
                <w:color w:val="000000"/>
                <w:sz w:val="14"/>
                <w:szCs w:val="14"/>
                <w:lang w:val="ro-MD"/>
              </w:rPr>
              <w:t>008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C76640C" w14:textId="0D90842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3</w:t>
            </w:r>
            <w:r w:rsidR="00AC0CE0" w:rsidRPr="00312485">
              <w:rPr>
                <w:rFonts w:eastAsia="Calibri"/>
                <w:b/>
                <w:color w:val="000000"/>
                <w:sz w:val="14"/>
                <w:szCs w:val="14"/>
                <w:lang w:val="ro-MD"/>
              </w:rPr>
              <w:t xml:space="preserve">1 </w:t>
            </w:r>
            <w:r w:rsidRPr="00312485">
              <w:rPr>
                <w:rFonts w:eastAsia="Calibri"/>
                <w:b/>
                <w:color w:val="000000"/>
                <w:sz w:val="14"/>
                <w:szCs w:val="14"/>
                <w:lang w:val="ro-MD"/>
              </w:rPr>
              <w:t>040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4E8FD58" w14:textId="537CC713" w:rsidR="00C96A6F" w:rsidRPr="00312485" w:rsidRDefault="00C96A6F" w:rsidP="00AC0CE0">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34</w:t>
            </w:r>
            <w:r w:rsidR="00AC0CE0" w:rsidRPr="00312485">
              <w:rPr>
                <w:rFonts w:eastAsia="Calibri"/>
                <w:b/>
                <w:color w:val="000000"/>
                <w:sz w:val="14"/>
                <w:szCs w:val="14"/>
                <w:lang w:val="ro-MD"/>
              </w:rPr>
              <w:t xml:space="preserve"> </w:t>
            </w:r>
            <w:r w:rsidRPr="00312485">
              <w:rPr>
                <w:rFonts w:eastAsia="Calibri"/>
                <w:b/>
                <w:color w:val="000000"/>
                <w:sz w:val="14"/>
                <w:szCs w:val="14"/>
                <w:lang w:val="ro-MD"/>
              </w:rPr>
              <w:t>081</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94C02C5" w14:textId="59ED32C5"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3</w:t>
            </w:r>
            <w:r w:rsidR="00AC0CE0" w:rsidRPr="00312485">
              <w:rPr>
                <w:rFonts w:eastAsia="Calibri"/>
                <w:b/>
                <w:color w:val="000000"/>
                <w:sz w:val="14"/>
                <w:szCs w:val="14"/>
                <w:lang w:val="ro-MD"/>
              </w:rPr>
              <w:t xml:space="preserve">7 </w:t>
            </w:r>
            <w:r w:rsidRPr="00312485">
              <w:rPr>
                <w:rFonts w:eastAsia="Calibri"/>
                <w:b/>
                <w:color w:val="000000"/>
                <w:sz w:val="14"/>
                <w:szCs w:val="14"/>
                <w:lang w:val="ro-MD"/>
              </w:rPr>
              <w:t>421</w:t>
            </w:r>
          </w:p>
        </w:tc>
      </w:tr>
      <w:tr w:rsidR="00C96A6F" w:rsidRPr="00312485" w14:paraId="242EB6CF"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bottom"/>
            <w:hideMark/>
          </w:tcPr>
          <w:p w14:paraId="58C01F1C" w14:textId="77777777" w:rsidR="00C96A6F" w:rsidRPr="00312485" w:rsidRDefault="00C96A6F" w:rsidP="00C96A6F">
            <w:pPr>
              <w:shd w:val="clear" w:color="auto" w:fill="FFFFFF"/>
              <w:ind w:firstLine="0"/>
              <w:jc w:val="left"/>
              <w:rPr>
                <w:rFonts w:eastAsia="Calibri"/>
                <w:b/>
                <w:color w:val="000000"/>
                <w:sz w:val="14"/>
                <w:szCs w:val="14"/>
                <w:lang w:val="ro-MD"/>
              </w:rPr>
            </w:pPr>
            <w:r w:rsidRPr="00312485">
              <w:rPr>
                <w:rFonts w:eastAsia="Calibri"/>
                <w:b/>
                <w:color w:val="000000"/>
                <w:sz w:val="14"/>
                <w:szCs w:val="14"/>
                <w:lang w:val="ro-MD"/>
              </w:rPr>
              <w:t>Prime de asigurări obligatorii de asistență medicală</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5D766CD5" w14:textId="774E3995" w:rsidR="00C96A6F" w:rsidRPr="00312485" w:rsidRDefault="00816D5A"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7 </w:t>
            </w:r>
            <w:r w:rsidR="00C96A6F" w:rsidRPr="00312485">
              <w:rPr>
                <w:rFonts w:eastAsia="Calibri"/>
                <w:b/>
                <w:color w:val="000000"/>
                <w:sz w:val="14"/>
                <w:szCs w:val="14"/>
                <w:lang w:val="ro-MD"/>
              </w:rPr>
              <w:t>498</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233A044B" w14:textId="0877E98A" w:rsidR="00C96A6F" w:rsidRPr="00312485" w:rsidRDefault="00816D5A"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8 </w:t>
            </w:r>
            <w:r w:rsidR="00C96A6F" w:rsidRPr="00312485">
              <w:rPr>
                <w:rFonts w:eastAsia="Calibri"/>
                <w:b/>
                <w:color w:val="000000"/>
                <w:sz w:val="14"/>
                <w:szCs w:val="14"/>
                <w:lang w:val="ro-MD"/>
              </w:rPr>
              <w:t>685</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03C36DB8" w14:textId="1AD3E132" w:rsidR="00C96A6F" w:rsidRPr="00312485" w:rsidRDefault="00816D5A"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9 </w:t>
            </w:r>
            <w:r w:rsidR="00C96A6F" w:rsidRPr="00312485">
              <w:rPr>
                <w:rFonts w:eastAsia="Calibri"/>
                <w:b/>
                <w:color w:val="000000"/>
                <w:sz w:val="14"/>
                <w:szCs w:val="14"/>
                <w:lang w:val="ro-MD"/>
              </w:rPr>
              <w:t>822</w:t>
            </w:r>
          </w:p>
        </w:tc>
        <w:tc>
          <w:tcPr>
            <w:tcW w:w="441" w:type="pct"/>
            <w:tcBorders>
              <w:top w:val="single" w:sz="4" w:space="0" w:color="auto"/>
              <w:left w:val="single" w:sz="4" w:space="0" w:color="auto"/>
              <w:bottom w:val="single" w:sz="4" w:space="0" w:color="auto"/>
              <w:right w:val="single" w:sz="4" w:space="0" w:color="auto"/>
            </w:tcBorders>
            <w:vAlign w:val="center"/>
          </w:tcPr>
          <w:p w14:paraId="7B54CF5B"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9.999</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7FA3DA01" w14:textId="29FCF0A6" w:rsidR="00C96A6F" w:rsidRPr="00312485" w:rsidRDefault="00AC0CE0"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10 </w:t>
            </w:r>
            <w:r w:rsidR="00C96A6F" w:rsidRPr="00312485">
              <w:rPr>
                <w:rFonts w:eastAsia="Calibri"/>
                <w:b/>
                <w:color w:val="000000"/>
                <w:sz w:val="14"/>
                <w:szCs w:val="14"/>
                <w:lang w:val="ro-MD"/>
              </w:rPr>
              <w:t>828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BEF539F" w14:textId="693568CA" w:rsidR="00C96A6F" w:rsidRPr="00312485" w:rsidRDefault="00AC0CE0"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 xml:space="preserve">11 </w:t>
            </w:r>
            <w:r w:rsidR="00C96A6F" w:rsidRPr="00312485">
              <w:rPr>
                <w:rFonts w:eastAsia="Calibri"/>
                <w:b/>
                <w:color w:val="000000"/>
                <w:sz w:val="14"/>
                <w:szCs w:val="14"/>
                <w:lang w:val="ro-MD"/>
              </w:rPr>
              <w:t>828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767CCF5" w14:textId="700974AC" w:rsidR="00C96A6F" w:rsidRPr="00312485" w:rsidRDefault="00C96A6F" w:rsidP="00AC0CE0">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12</w:t>
            </w:r>
            <w:r w:rsidR="00AC0CE0" w:rsidRPr="00312485">
              <w:rPr>
                <w:rFonts w:eastAsia="Calibri"/>
                <w:b/>
                <w:color w:val="000000"/>
                <w:sz w:val="14"/>
                <w:szCs w:val="14"/>
                <w:lang w:val="ro-MD"/>
              </w:rPr>
              <w:t xml:space="preserve"> </w:t>
            </w:r>
            <w:r w:rsidRPr="00312485">
              <w:rPr>
                <w:rFonts w:eastAsia="Calibri"/>
                <w:b/>
                <w:color w:val="000000"/>
                <w:sz w:val="14"/>
                <w:szCs w:val="14"/>
                <w:lang w:val="ro-MD"/>
              </w:rPr>
              <w:t>822</w:t>
            </w:r>
          </w:p>
        </w:tc>
      </w:tr>
      <w:tr w:rsidR="00C96A6F" w:rsidRPr="00312485" w14:paraId="5805153E"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2F27FAF1"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 xml:space="preserve">Alte venituri </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BD2BDED" w14:textId="7AEC3F48"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4 </w:t>
            </w:r>
            <w:r w:rsidR="00C96A6F" w:rsidRPr="00312485">
              <w:rPr>
                <w:rFonts w:eastAsia="Calibri"/>
                <w:b/>
                <w:bCs/>
                <w:color w:val="000000"/>
                <w:sz w:val="14"/>
                <w:szCs w:val="14"/>
                <w:lang w:val="ro-MD"/>
              </w:rPr>
              <w:t>924</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4ECD06C9" w14:textId="611613E7"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5 </w:t>
            </w:r>
            <w:r w:rsidR="00C96A6F" w:rsidRPr="00312485">
              <w:rPr>
                <w:rFonts w:eastAsia="Calibri"/>
                <w:b/>
                <w:bCs/>
                <w:color w:val="000000"/>
                <w:sz w:val="14"/>
                <w:szCs w:val="14"/>
                <w:lang w:val="ro-MD"/>
              </w:rPr>
              <w:t>701</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2A8A371F" w14:textId="5D09D56E"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5 </w:t>
            </w:r>
            <w:r w:rsidR="00C96A6F" w:rsidRPr="00312485">
              <w:rPr>
                <w:rFonts w:eastAsia="Calibri"/>
                <w:b/>
                <w:bCs/>
                <w:color w:val="000000"/>
                <w:sz w:val="14"/>
                <w:szCs w:val="14"/>
                <w:lang w:val="ro-MD"/>
              </w:rPr>
              <w:t>850</w:t>
            </w:r>
          </w:p>
        </w:tc>
        <w:tc>
          <w:tcPr>
            <w:tcW w:w="441" w:type="pct"/>
            <w:tcBorders>
              <w:top w:val="single" w:sz="4" w:space="0" w:color="auto"/>
              <w:left w:val="single" w:sz="4" w:space="0" w:color="auto"/>
              <w:bottom w:val="single" w:sz="4" w:space="0" w:color="auto"/>
              <w:right w:val="single" w:sz="4" w:space="0" w:color="auto"/>
            </w:tcBorders>
            <w:vAlign w:val="center"/>
          </w:tcPr>
          <w:p w14:paraId="13715B88"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6.147</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7ED13DE1" w14:textId="0A2D9CE1" w:rsidR="00C96A6F" w:rsidRPr="00312485" w:rsidRDefault="00AC0CE0"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5 </w:t>
            </w:r>
            <w:r w:rsidR="00C96A6F" w:rsidRPr="00312485">
              <w:rPr>
                <w:rFonts w:eastAsia="Calibri"/>
                <w:b/>
                <w:bCs/>
                <w:color w:val="000000"/>
                <w:sz w:val="14"/>
                <w:szCs w:val="14"/>
                <w:lang w:val="ro-MD"/>
              </w:rPr>
              <w:t>960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C3FD9E6" w14:textId="6B580CF6" w:rsidR="00C96A6F" w:rsidRPr="00312485" w:rsidRDefault="00AC0CE0"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6 </w:t>
            </w:r>
            <w:r w:rsidR="00C96A6F" w:rsidRPr="00312485">
              <w:rPr>
                <w:rFonts w:eastAsia="Calibri"/>
                <w:b/>
                <w:bCs/>
                <w:color w:val="000000"/>
                <w:sz w:val="14"/>
                <w:szCs w:val="14"/>
                <w:lang w:val="ro-MD"/>
              </w:rPr>
              <w:t>393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8971B73" w14:textId="3F7DAA22" w:rsidR="00C96A6F" w:rsidRPr="00312485" w:rsidRDefault="00C96A6F" w:rsidP="00AC0CE0">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6</w:t>
            </w:r>
            <w:r w:rsidR="00AC0CE0" w:rsidRPr="00312485">
              <w:rPr>
                <w:rFonts w:eastAsia="Calibri"/>
                <w:b/>
                <w:bCs/>
                <w:color w:val="000000"/>
                <w:sz w:val="14"/>
                <w:szCs w:val="14"/>
                <w:lang w:val="ro-MD"/>
              </w:rPr>
              <w:t xml:space="preserve"> </w:t>
            </w:r>
            <w:r w:rsidRPr="00312485">
              <w:rPr>
                <w:rFonts w:eastAsia="Calibri"/>
                <w:b/>
                <w:bCs/>
                <w:color w:val="000000"/>
                <w:sz w:val="14"/>
                <w:szCs w:val="14"/>
                <w:lang w:val="ro-MD"/>
              </w:rPr>
              <w:t>889</w:t>
            </w:r>
          </w:p>
        </w:tc>
      </w:tr>
      <w:tr w:rsidR="00C96A6F" w:rsidRPr="00312485" w14:paraId="6158C067" w14:textId="77777777" w:rsidTr="00E245CF">
        <w:trPr>
          <w:trHeight w:val="258"/>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560CDF23"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Granturi</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46D925F8" w14:textId="3399748D"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5 </w:t>
            </w:r>
            <w:r w:rsidR="00C96A6F" w:rsidRPr="00312485">
              <w:rPr>
                <w:rFonts w:eastAsia="Calibri"/>
                <w:b/>
                <w:bCs/>
                <w:color w:val="000000"/>
                <w:sz w:val="14"/>
                <w:szCs w:val="14"/>
                <w:lang w:val="ro-MD"/>
              </w:rPr>
              <w:t>347</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13927649" w14:textId="1CD1F3C9"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2 </w:t>
            </w:r>
            <w:r w:rsidR="00C96A6F" w:rsidRPr="00312485">
              <w:rPr>
                <w:rFonts w:eastAsia="Calibri"/>
                <w:b/>
                <w:bCs/>
                <w:color w:val="000000"/>
                <w:sz w:val="14"/>
                <w:szCs w:val="14"/>
                <w:lang w:val="ro-MD"/>
              </w:rPr>
              <w:t>592</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74D0842A" w14:textId="4E2F9BD6" w:rsidR="00C96A6F" w:rsidRPr="00312485" w:rsidRDefault="00816D5A"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 xml:space="preserve">1 </w:t>
            </w:r>
            <w:r w:rsidR="00C96A6F" w:rsidRPr="00312485">
              <w:rPr>
                <w:rFonts w:eastAsia="Calibri"/>
                <w:b/>
                <w:bCs/>
                <w:color w:val="000000"/>
                <w:sz w:val="14"/>
                <w:szCs w:val="14"/>
                <w:lang w:val="ro-MD"/>
              </w:rPr>
              <w:t>318</w:t>
            </w:r>
          </w:p>
        </w:tc>
        <w:tc>
          <w:tcPr>
            <w:tcW w:w="441" w:type="pct"/>
            <w:tcBorders>
              <w:top w:val="single" w:sz="4" w:space="0" w:color="auto"/>
              <w:left w:val="single" w:sz="4" w:space="0" w:color="auto"/>
              <w:bottom w:val="single" w:sz="4" w:space="0" w:color="auto"/>
              <w:right w:val="single" w:sz="4" w:space="0" w:color="auto"/>
            </w:tcBorders>
            <w:vAlign w:val="center"/>
          </w:tcPr>
          <w:p w14:paraId="7E6B418E" w14:textId="0AD9DA26" w:rsidR="00C96A6F" w:rsidRPr="00312485" w:rsidRDefault="00C96A6F" w:rsidP="00AC0CE0">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5</w:t>
            </w:r>
            <w:r w:rsidR="00AC0CE0" w:rsidRPr="00312485">
              <w:rPr>
                <w:rFonts w:eastAsia="Calibri"/>
                <w:b/>
                <w:bCs/>
                <w:color w:val="000000"/>
                <w:sz w:val="14"/>
                <w:szCs w:val="14"/>
                <w:lang w:val="ro-MD"/>
              </w:rPr>
              <w:t xml:space="preserve"> </w:t>
            </w:r>
            <w:r w:rsidRPr="00312485">
              <w:rPr>
                <w:rFonts w:eastAsia="Calibri"/>
                <w:b/>
                <w:bCs/>
                <w:color w:val="000000"/>
                <w:sz w:val="14"/>
                <w:szCs w:val="14"/>
                <w:lang w:val="ro-MD"/>
              </w:rPr>
              <w:t>058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73BEDFFD" w14:textId="143F95CF"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w:t>
            </w:r>
            <w:r w:rsidR="00AC0CE0" w:rsidRPr="00312485">
              <w:rPr>
                <w:rFonts w:eastAsia="Calibri"/>
                <w:b/>
                <w:bCs/>
                <w:color w:val="000000"/>
                <w:sz w:val="14"/>
                <w:szCs w:val="14"/>
                <w:lang w:val="ro-MD"/>
              </w:rPr>
              <w:t xml:space="preserve"> </w:t>
            </w:r>
            <w:r w:rsidRPr="00312485">
              <w:rPr>
                <w:rFonts w:eastAsia="Calibri"/>
                <w:b/>
                <w:bCs/>
                <w:color w:val="000000"/>
                <w:sz w:val="14"/>
                <w:szCs w:val="14"/>
                <w:lang w:val="ro-MD"/>
              </w:rPr>
              <w:t>649</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CA3F367" w14:textId="2627EAAD"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w:t>
            </w:r>
            <w:r w:rsidR="00AC0CE0" w:rsidRPr="00312485">
              <w:rPr>
                <w:rFonts w:eastAsia="Calibri"/>
                <w:b/>
                <w:bCs/>
                <w:color w:val="000000"/>
                <w:sz w:val="14"/>
                <w:szCs w:val="14"/>
                <w:lang w:val="ro-MD"/>
              </w:rPr>
              <w:t xml:space="preserve"> </w:t>
            </w:r>
            <w:r w:rsidRPr="00312485">
              <w:rPr>
                <w:rFonts w:eastAsia="Calibri"/>
                <w:b/>
                <w:bCs/>
                <w:color w:val="000000"/>
                <w:sz w:val="14"/>
                <w:szCs w:val="14"/>
                <w:lang w:val="ro-MD"/>
              </w:rPr>
              <w:t>201</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8BDB86B"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673</w:t>
            </w:r>
          </w:p>
        </w:tc>
      </w:tr>
      <w:tr w:rsidR="00C96A6F" w:rsidRPr="00312485" w14:paraId="41AE5476" w14:textId="77777777" w:rsidTr="00E245CF">
        <w:trPr>
          <w:trHeight w:val="258"/>
        </w:trPr>
        <w:tc>
          <w:tcPr>
            <w:tcW w:w="432" w:type="pct"/>
            <w:tcBorders>
              <w:top w:val="single" w:sz="4" w:space="0" w:color="auto"/>
              <w:left w:val="nil"/>
              <w:bottom w:val="single" w:sz="4" w:space="0" w:color="auto"/>
              <w:right w:val="nil"/>
            </w:tcBorders>
            <w:noWrap/>
            <w:vAlign w:val="center"/>
            <w:hideMark/>
          </w:tcPr>
          <w:p w14:paraId="24DA1FF6" w14:textId="77777777" w:rsidR="00C96A6F" w:rsidRPr="00312485" w:rsidRDefault="00C96A6F" w:rsidP="00C96A6F">
            <w:pPr>
              <w:shd w:val="clear" w:color="auto" w:fill="FFFFFF"/>
              <w:ind w:firstLine="0"/>
              <w:jc w:val="left"/>
              <w:rPr>
                <w:rFonts w:eastAsia="Calibri"/>
                <w:color w:val="000000"/>
                <w:sz w:val="14"/>
                <w:szCs w:val="14"/>
                <w:lang w:val="ro-MD"/>
              </w:rPr>
            </w:pPr>
            <w:r w:rsidRPr="00312485">
              <w:rPr>
                <w:rFonts w:eastAsia="Calibri"/>
                <w:color w:val="000000"/>
                <w:sz w:val="14"/>
                <w:szCs w:val="14"/>
                <w:lang w:val="ro-MD"/>
              </w:rPr>
              <w:t> </w:t>
            </w:r>
          </w:p>
        </w:tc>
        <w:tc>
          <w:tcPr>
            <w:tcW w:w="1413" w:type="pct"/>
            <w:tcBorders>
              <w:top w:val="single" w:sz="4" w:space="0" w:color="auto"/>
              <w:left w:val="nil"/>
              <w:bottom w:val="single" w:sz="4" w:space="0" w:color="auto"/>
              <w:right w:val="nil"/>
            </w:tcBorders>
            <w:noWrap/>
            <w:vAlign w:val="center"/>
            <w:hideMark/>
          </w:tcPr>
          <w:p w14:paraId="5F08F376" w14:textId="77777777" w:rsidR="00C96A6F" w:rsidRPr="00312485" w:rsidRDefault="00C96A6F" w:rsidP="00C96A6F">
            <w:pPr>
              <w:shd w:val="clear" w:color="auto" w:fill="FFFFFF"/>
              <w:ind w:firstLine="0"/>
              <w:jc w:val="left"/>
              <w:rPr>
                <w:rFonts w:eastAsia="Calibri"/>
                <w:color w:val="000000"/>
                <w:sz w:val="14"/>
                <w:szCs w:val="14"/>
                <w:lang w:val="ro-MD"/>
              </w:rPr>
            </w:pPr>
            <w:r w:rsidRPr="00312485">
              <w:rPr>
                <w:rFonts w:eastAsia="Calibri"/>
                <w:color w:val="000000"/>
                <w:sz w:val="14"/>
                <w:szCs w:val="14"/>
                <w:lang w:val="ro-MD"/>
              </w:rPr>
              <w:t> </w:t>
            </w:r>
          </w:p>
        </w:tc>
        <w:tc>
          <w:tcPr>
            <w:tcW w:w="398" w:type="pct"/>
            <w:tcBorders>
              <w:top w:val="single" w:sz="4" w:space="0" w:color="auto"/>
              <w:left w:val="nil"/>
              <w:bottom w:val="single" w:sz="4" w:space="0" w:color="auto"/>
              <w:right w:val="nil"/>
            </w:tcBorders>
          </w:tcPr>
          <w:p w14:paraId="7570E090" w14:textId="77777777" w:rsidR="00C96A6F" w:rsidRPr="00312485" w:rsidRDefault="00C96A6F" w:rsidP="00C96A6F">
            <w:pPr>
              <w:shd w:val="clear" w:color="auto" w:fill="FFFFFF"/>
              <w:ind w:firstLine="0"/>
              <w:jc w:val="center"/>
              <w:rPr>
                <w:rFonts w:eastAsia="Calibri"/>
                <w:b/>
                <w:color w:val="000000"/>
                <w:sz w:val="14"/>
                <w:szCs w:val="14"/>
                <w:lang w:val="ro-MD"/>
              </w:rPr>
            </w:pPr>
          </w:p>
        </w:tc>
        <w:tc>
          <w:tcPr>
            <w:tcW w:w="2757" w:type="pct"/>
            <w:gridSpan w:val="7"/>
            <w:tcBorders>
              <w:top w:val="single" w:sz="4" w:space="0" w:color="auto"/>
              <w:left w:val="nil"/>
              <w:bottom w:val="single" w:sz="4" w:space="0" w:color="auto"/>
              <w:right w:val="nil"/>
            </w:tcBorders>
            <w:noWrap/>
            <w:vAlign w:val="center"/>
            <w:hideMark/>
          </w:tcPr>
          <w:p w14:paraId="0663E755" w14:textId="77777777" w:rsidR="00C96A6F" w:rsidRPr="00312485" w:rsidRDefault="00C96A6F" w:rsidP="00C96A6F">
            <w:pPr>
              <w:shd w:val="clear" w:color="auto" w:fill="FFFFFF"/>
              <w:ind w:firstLine="0"/>
              <w:jc w:val="center"/>
              <w:rPr>
                <w:rFonts w:eastAsia="Calibri"/>
                <w:b/>
                <w:color w:val="000000"/>
                <w:sz w:val="14"/>
                <w:szCs w:val="14"/>
                <w:lang w:val="ro-MD"/>
              </w:rPr>
            </w:pPr>
            <w:r w:rsidRPr="00312485">
              <w:rPr>
                <w:rFonts w:eastAsia="Calibri"/>
                <w:b/>
                <w:color w:val="000000"/>
                <w:sz w:val="14"/>
                <w:szCs w:val="14"/>
                <w:lang w:val="ro-MD"/>
              </w:rPr>
              <w:t>% din PIB</w:t>
            </w:r>
          </w:p>
        </w:tc>
      </w:tr>
      <w:tr w:rsidR="00C96A6F" w:rsidRPr="00312485" w14:paraId="17AA7C60"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57EB0FA1"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Total venituri și granturi</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6FC36861"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33,7%</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368849B9"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34,1%</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25811B0C"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31,0%</w:t>
            </w:r>
          </w:p>
        </w:tc>
        <w:tc>
          <w:tcPr>
            <w:tcW w:w="441" w:type="pct"/>
            <w:tcBorders>
              <w:top w:val="single" w:sz="4" w:space="0" w:color="auto"/>
              <w:left w:val="single" w:sz="4" w:space="0" w:color="auto"/>
              <w:bottom w:val="single" w:sz="4" w:space="0" w:color="auto"/>
              <w:right w:val="single" w:sz="4" w:space="0" w:color="auto"/>
            </w:tcBorders>
            <w:vAlign w:val="center"/>
          </w:tcPr>
          <w:p w14:paraId="64F750DB"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35,3%</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7EE5D5EB"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34,7%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24C9BF2"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34,8%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0076B41"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35,4%</w:t>
            </w:r>
          </w:p>
        </w:tc>
      </w:tr>
      <w:tr w:rsidR="00C96A6F" w:rsidRPr="00312485" w14:paraId="18216127"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0272279A"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Impozite și taxe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7065DF50"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20,8%</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0F34EBE4"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21,1%</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7C4A3C8D"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19,4%</w:t>
            </w:r>
          </w:p>
        </w:tc>
        <w:tc>
          <w:tcPr>
            <w:tcW w:w="441" w:type="pct"/>
            <w:tcBorders>
              <w:top w:val="single" w:sz="4" w:space="0" w:color="auto"/>
              <w:left w:val="single" w:sz="4" w:space="0" w:color="auto"/>
              <w:bottom w:val="single" w:sz="4" w:space="0" w:color="auto"/>
              <w:right w:val="single" w:sz="4" w:space="0" w:color="auto"/>
            </w:tcBorders>
            <w:vAlign w:val="center"/>
          </w:tcPr>
          <w:p w14:paraId="4701EC4D"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21,3%</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2FD32236"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21,7%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1D43C18"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21,8%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61253B0"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22,2%</w:t>
            </w:r>
          </w:p>
        </w:tc>
      </w:tr>
      <w:tr w:rsidR="00C96A6F" w:rsidRPr="00312485" w14:paraId="72F23EF7" w14:textId="77777777" w:rsidTr="000D6F27">
        <w:trPr>
          <w:trHeight w:val="140"/>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5398E351" w14:textId="77777777" w:rsidR="00C96A6F" w:rsidRPr="00312485" w:rsidRDefault="00C96A6F" w:rsidP="00C96A6F">
            <w:pPr>
              <w:shd w:val="clear" w:color="auto" w:fill="FFFFFF"/>
              <w:ind w:firstLine="0"/>
              <w:jc w:val="left"/>
              <w:rPr>
                <w:rFonts w:eastAsia="Calibri"/>
                <w:b/>
                <w:bCs/>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2B558593"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 pe venitul persoanelor fizice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0AF22881"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2,4%</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07089703"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2,7%</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6F95FFC4"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2,5%</w:t>
            </w:r>
          </w:p>
        </w:tc>
        <w:tc>
          <w:tcPr>
            <w:tcW w:w="441" w:type="pct"/>
            <w:tcBorders>
              <w:top w:val="single" w:sz="4" w:space="0" w:color="auto"/>
              <w:left w:val="single" w:sz="4" w:space="0" w:color="auto"/>
              <w:bottom w:val="single" w:sz="4" w:space="0" w:color="auto"/>
              <w:right w:val="single" w:sz="4" w:space="0" w:color="auto"/>
            </w:tcBorders>
            <w:vAlign w:val="center"/>
          </w:tcPr>
          <w:p w14:paraId="6881EC73"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2,7%</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B58E77E"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CB5C64E"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4859000"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2,9%</w:t>
            </w:r>
          </w:p>
        </w:tc>
      </w:tr>
      <w:tr w:rsidR="00C96A6F" w:rsidRPr="00312485" w14:paraId="53D2E5DA" w14:textId="77777777" w:rsidTr="000D6F27">
        <w:trPr>
          <w:trHeight w:val="185"/>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52668A4E"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42D4C6D9"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 pe venitul persoanelor juridice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77DD5DF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3,1%</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026B364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660E48BD"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2,5%</w:t>
            </w:r>
          </w:p>
        </w:tc>
        <w:tc>
          <w:tcPr>
            <w:tcW w:w="441" w:type="pct"/>
            <w:tcBorders>
              <w:top w:val="single" w:sz="4" w:space="0" w:color="auto"/>
              <w:left w:val="single" w:sz="4" w:space="0" w:color="auto"/>
              <w:bottom w:val="single" w:sz="4" w:space="0" w:color="auto"/>
              <w:right w:val="single" w:sz="4" w:space="0" w:color="auto"/>
            </w:tcBorders>
            <w:vAlign w:val="center"/>
          </w:tcPr>
          <w:p w14:paraId="4D0959AC"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2,8%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7AC1F240"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D776820"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3,1%</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8E27C9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3,3%</w:t>
            </w:r>
          </w:p>
        </w:tc>
      </w:tr>
      <w:tr w:rsidR="00C96A6F" w:rsidRPr="00312485" w14:paraId="47951D97" w14:textId="77777777" w:rsidTr="00181D51">
        <w:trPr>
          <w:trHeight w:val="204"/>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5CC8C817"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1DB109C7"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TVA</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BD0CE97"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10,0%</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049252A6"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10,3%</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7C794AF8"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9,5%</w:t>
            </w:r>
          </w:p>
        </w:tc>
        <w:tc>
          <w:tcPr>
            <w:tcW w:w="441" w:type="pct"/>
            <w:tcBorders>
              <w:top w:val="single" w:sz="4" w:space="0" w:color="auto"/>
              <w:left w:val="single" w:sz="4" w:space="0" w:color="auto"/>
              <w:bottom w:val="single" w:sz="4" w:space="0" w:color="auto"/>
              <w:right w:val="single" w:sz="4" w:space="0" w:color="auto"/>
            </w:tcBorders>
            <w:vAlign w:val="center"/>
          </w:tcPr>
          <w:p w14:paraId="543E13C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10,5%</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6C8A046C"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05D88D7D"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FB89766"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10,8%</w:t>
            </w:r>
          </w:p>
        </w:tc>
      </w:tr>
      <w:tr w:rsidR="00C96A6F" w:rsidRPr="00312485" w14:paraId="4CD64840" w14:textId="77777777" w:rsidTr="00181D51">
        <w:trPr>
          <w:trHeight w:val="135"/>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3E9CF529"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2675EE6D"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Accize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15489ED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3,3%</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1E0296BE"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3,5%</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645DBB6E"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3,3%</w:t>
            </w:r>
          </w:p>
        </w:tc>
        <w:tc>
          <w:tcPr>
            <w:tcW w:w="441" w:type="pct"/>
            <w:tcBorders>
              <w:top w:val="single" w:sz="4" w:space="0" w:color="auto"/>
              <w:left w:val="single" w:sz="4" w:space="0" w:color="auto"/>
              <w:bottom w:val="single" w:sz="4" w:space="0" w:color="auto"/>
              <w:right w:val="single" w:sz="4" w:space="0" w:color="auto"/>
            </w:tcBorders>
            <w:vAlign w:val="center"/>
          </w:tcPr>
          <w:p w14:paraId="7AEC64F1"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3,6%</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9E966A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3,5%</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A145DFF"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3,5%</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A670277"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3,6%</w:t>
            </w:r>
          </w:p>
        </w:tc>
      </w:tr>
      <w:tr w:rsidR="00C96A6F" w:rsidRPr="00312485" w14:paraId="15263088" w14:textId="77777777" w:rsidTr="00181D51">
        <w:trPr>
          <w:trHeight w:val="96"/>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539EA1DB"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07B429E6"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Taxe asupra comerțului exterior</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5B82024"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0,9%</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23B5D8C6"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1249F9A7"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0,7%</w:t>
            </w:r>
          </w:p>
        </w:tc>
        <w:tc>
          <w:tcPr>
            <w:tcW w:w="441" w:type="pct"/>
            <w:tcBorders>
              <w:top w:val="single" w:sz="4" w:space="0" w:color="auto"/>
              <w:left w:val="single" w:sz="4" w:space="0" w:color="auto"/>
              <w:bottom w:val="single" w:sz="4" w:space="0" w:color="auto"/>
              <w:right w:val="single" w:sz="4" w:space="0" w:color="auto"/>
            </w:tcBorders>
            <w:vAlign w:val="center"/>
          </w:tcPr>
          <w:p w14:paraId="3AFB275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50217D90"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FDADD4C"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A687A3B"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r>
      <w:tr w:rsidR="00C96A6F" w:rsidRPr="00312485" w14:paraId="595DA978" w14:textId="77777777" w:rsidTr="00181D51">
        <w:trPr>
          <w:trHeight w:val="70"/>
        </w:trPr>
        <w:tc>
          <w:tcPr>
            <w:tcW w:w="432" w:type="pct"/>
            <w:tcBorders>
              <w:top w:val="single" w:sz="4" w:space="0" w:color="auto"/>
              <w:left w:val="single" w:sz="4" w:space="0" w:color="auto"/>
              <w:bottom w:val="single" w:sz="4" w:space="0" w:color="auto"/>
              <w:right w:val="single" w:sz="4" w:space="0" w:color="auto"/>
            </w:tcBorders>
            <w:noWrap/>
            <w:vAlign w:val="bottom"/>
            <w:hideMark/>
          </w:tcPr>
          <w:p w14:paraId="75209810" w14:textId="77777777" w:rsidR="00C96A6F" w:rsidRPr="00312485" w:rsidRDefault="00C96A6F" w:rsidP="00C96A6F">
            <w:pPr>
              <w:shd w:val="clear" w:color="auto" w:fill="FFFFFF"/>
              <w:ind w:firstLine="0"/>
              <w:jc w:val="lef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7E7682AA" w14:textId="77777777" w:rsidR="00C96A6F" w:rsidRPr="00312485" w:rsidRDefault="00C96A6F" w:rsidP="00C96A6F">
            <w:pPr>
              <w:shd w:val="clear" w:color="auto" w:fill="FFFFFF"/>
              <w:ind w:firstLine="0"/>
              <w:jc w:val="left"/>
              <w:rPr>
                <w:color w:val="000000"/>
                <w:sz w:val="14"/>
                <w:szCs w:val="14"/>
                <w:lang w:val="ro-MD"/>
              </w:rPr>
            </w:pPr>
            <w:r w:rsidRPr="00312485">
              <w:rPr>
                <w:rFonts w:eastAsia="Calibri"/>
                <w:color w:val="000000"/>
                <w:sz w:val="14"/>
                <w:szCs w:val="14"/>
                <w:lang w:val="ro-MD"/>
              </w:rPr>
              <w:t>Impozite pe proprietate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37FA07B"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0,3%</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723C57BC"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0,3%</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0FFECB53"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0,2%</w:t>
            </w:r>
          </w:p>
        </w:tc>
        <w:tc>
          <w:tcPr>
            <w:tcW w:w="441" w:type="pct"/>
            <w:tcBorders>
              <w:top w:val="single" w:sz="4" w:space="0" w:color="auto"/>
              <w:left w:val="single" w:sz="4" w:space="0" w:color="auto"/>
              <w:bottom w:val="single" w:sz="4" w:space="0" w:color="auto"/>
              <w:right w:val="single" w:sz="4" w:space="0" w:color="auto"/>
            </w:tcBorders>
            <w:vAlign w:val="center"/>
          </w:tcPr>
          <w:p w14:paraId="3CCAE4B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0,2%</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4EB5888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0,2%</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543EF3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0,2%</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A3D366C"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0,2%</w:t>
            </w:r>
          </w:p>
        </w:tc>
      </w:tr>
      <w:tr w:rsidR="00C96A6F" w:rsidRPr="00312485" w14:paraId="5E7B67E7" w14:textId="77777777" w:rsidTr="00181D51">
        <w:trPr>
          <w:trHeight w:val="186"/>
        </w:trPr>
        <w:tc>
          <w:tcPr>
            <w:tcW w:w="432" w:type="pct"/>
            <w:tcBorders>
              <w:top w:val="single" w:sz="4" w:space="0" w:color="auto"/>
              <w:left w:val="single" w:sz="4" w:space="0" w:color="auto"/>
              <w:bottom w:val="single" w:sz="4" w:space="0" w:color="auto"/>
              <w:right w:val="single" w:sz="4" w:space="0" w:color="auto"/>
            </w:tcBorders>
            <w:noWrap/>
            <w:vAlign w:val="bottom"/>
          </w:tcPr>
          <w:p w14:paraId="793B516F" w14:textId="77777777" w:rsidR="00C96A6F" w:rsidRPr="00312485" w:rsidRDefault="00C96A6F" w:rsidP="00C96A6F">
            <w:pPr>
              <w:shd w:val="clear" w:color="auto" w:fill="FFFFFF"/>
              <w:ind w:firstLine="0"/>
              <w:jc w:val="right"/>
              <w:rPr>
                <w:rFonts w:eastAsia="Calibri"/>
                <w:color w:val="000000"/>
                <w:sz w:val="14"/>
                <w:szCs w:val="14"/>
                <w:lang w:val="ro-MD"/>
              </w:rPr>
            </w:pPr>
          </w:p>
        </w:tc>
        <w:tc>
          <w:tcPr>
            <w:tcW w:w="1413" w:type="pct"/>
            <w:tcBorders>
              <w:top w:val="single" w:sz="4" w:space="0" w:color="auto"/>
              <w:left w:val="single" w:sz="4" w:space="0" w:color="auto"/>
              <w:bottom w:val="single" w:sz="4" w:space="0" w:color="auto"/>
              <w:right w:val="single" w:sz="4" w:space="0" w:color="auto"/>
            </w:tcBorders>
            <w:noWrap/>
            <w:vAlign w:val="center"/>
            <w:hideMark/>
          </w:tcPr>
          <w:p w14:paraId="73AFFE4A" w14:textId="77777777" w:rsidR="00C96A6F" w:rsidRPr="00312485" w:rsidRDefault="00C96A6F" w:rsidP="00C96A6F">
            <w:pPr>
              <w:shd w:val="clear" w:color="auto" w:fill="FFFFFF"/>
              <w:ind w:firstLine="0"/>
              <w:jc w:val="left"/>
              <w:rPr>
                <w:rFonts w:eastAsia="Calibri"/>
                <w:color w:val="000000"/>
                <w:sz w:val="14"/>
                <w:szCs w:val="14"/>
                <w:lang w:val="ro-MD"/>
              </w:rPr>
            </w:pPr>
            <w:r w:rsidRPr="00312485">
              <w:rPr>
                <w:rFonts w:eastAsia="Calibri"/>
                <w:color w:val="000000"/>
                <w:sz w:val="14"/>
                <w:szCs w:val="14"/>
                <w:lang w:val="ro-MD"/>
              </w:rPr>
              <w:t>Alte impozite și taxe</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41BB5D89"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4C0025F6"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3CBD3C5D"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0,6%</w:t>
            </w:r>
          </w:p>
        </w:tc>
        <w:tc>
          <w:tcPr>
            <w:tcW w:w="441" w:type="pct"/>
            <w:tcBorders>
              <w:top w:val="single" w:sz="4" w:space="0" w:color="auto"/>
              <w:left w:val="single" w:sz="4" w:space="0" w:color="auto"/>
              <w:bottom w:val="single" w:sz="4" w:space="0" w:color="auto"/>
              <w:right w:val="single" w:sz="4" w:space="0" w:color="auto"/>
            </w:tcBorders>
            <w:vAlign w:val="center"/>
          </w:tcPr>
          <w:p w14:paraId="42C18823"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0,7%</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15908414"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0,7%</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427B32D"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0,6%</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211C33A" w14:textId="77777777" w:rsidR="00C96A6F" w:rsidRPr="00312485" w:rsidRDefault="00C96A6F" w:rsidP="00C96A6F">
            <w:pPr>
              <w:shd w:val="clear" w:color="auto" w:fill="FFFFFF"/>
              <w:ind w:firstLine="0"/>
              <w:jc w:val="right"/>
              <w:rPr>
                <w:rFonts w:eastAsia="Calibri"/>
                <w:color w:val="000000"/>
                <w:sz w:val="14"/>
                <w:szCs w:val="14"/>
                <w:lang w:val="ro-MD"/>
              </w:rPr>
            </w:pPr>
            <w:r w:rsidRPr="00312485">
              <w:rPr>
                <w:rFonts w:eastAsia="Calibri"/>
                <w:color w:val="000000"/>
                <w:sz w:val="14"/>
                <w:szCs w:val="14"/>
                <w:lang w:val="ro-MD"/>
              </w:rPr>
              <w:t>0,6%</w:t>
            </w:r>
          </w:p>
        </w:tc>
      </w:tr>
      <w:tr w:rsidR="00C96A6F" w:rsidRPr="00312485" w14:paraId="4BF2617A"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bottom"/>
            <w:hideMark/>
          </w:tcPr>
          <w:p w14:paraId="3F4DEEF8" w14:textId="77777777" w:rsidR="00C96A6F" w:rsidRPr="00312485" w:rsidRDefault="00C96A6F" w:rsidP="00C96A6F">
            <w:pPr>
              <w:shd w:val="clear" w:color="auto" w:fill="FFFFFF"/>
              <w:ind w:firstLine="0"/>
              <w:jc w:val="left"/>
              <w:rPr>
                <w:rFonts w:eastAsia="Calibri"/>
                <w:b/>
                <w:color w:val="000000"/>
                <w:sz w:val="14"/>
                <w:szCs w:val="14"/>
                <w:lang w:val="ro-MD"/>
              </w:rPr>
            </w:pPr>
            <w:r w:rsidRPr="00312485">
              <w:rPr>
                <w:rFonts w:eastAsia="Calibri"/>
                <w:b/>
                <w:color w:val="000000"/>
                <w:sz w:val="14"/>
                <w:szCs w:val="14"/>
                <w:lang w:val="ro-MD"/>
              </w:rPr>
              <w:t>Contribuții de asigurări sociale de stat</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2BD58912"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7,1%</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39F83D5F"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7,7%</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03574A72"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7,2%</w:t>
            </w:r>
          </w:p>
        </w:tc>
        <w:tc>
          <w:tcPr>
            <w:tcW w:w="441" w:type="pct"/>
            <w:tcBorders>
              <w:top w:val="single" w:sz="4" w:space="0" w:color="auto"/>
              <w:left w:val="single" w:sz="4" w:space="0" w:color="auto"/>
              <w:bottom w:val="single" w:sz="4" w:space="0" w:color="auto"/>
              <w:right w:val="single" w:sz="4" w:space="0" w:color="auto"/>
            </w:tcBorders>
            <w:vAlign w:val="center"/>
          </w:tcPr>
          <w:p w14:paraId="46CF9E3A"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8,0%</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25F5F45C"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8,2%</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7AC265E"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8,3%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5248BFC9"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8,5%</w:t>
            </w:r>
          </w:p>
        </w:tc>
      </w:tr>
      <w:tr w:rsidR="00C96A6F" w:rsidRPr="00312485" w14:paraId="7ED8B6C0"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bottom"/>
            <w:hideMark/>
          </w:tcPr>
          <w:p w14:paraId="2C926EE5" w14:textId="77777777" w:rsidR="00C96A6F" w:rsidRPr="00312485" w:rsidRDefault="00C96A6F" w:rsidP="00C96A6F">
            <w:pPr>
              <w:shd w:val="clear" w:color="auto" w:fill="FFFFFF"/>
              <w:ind w:firstLine="0"/>
              <w:jc w:val="left"/>
              <w:rPr>
                <w:rFonts w:eastAsia="Calibri"/>
                <w:b/>
                <w:color w:val="000000"/>
                <w:sz w:val="14"/>
                <w:szCs w:val="14"/>
                <w:lang w:val="ro-MD"/>
              </w:rPr>
            </w:pPr>
            <w:r w:rsidRPr="00312485">
              <w:rPr>
                <w:rFonts w:eastAsia="Calibri"/>
                <w:b/>
                <w:color w:val="000000"/>
                <w:sz w:val="14"/>
                <w:szCs w:val="14"/>
                <w:lang w:val="ro-MD"/>
              </w:rPr>
              <w:t>Prime de asigurări obligatorii de asistență medicală</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08B51E69"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2,5%</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275C661B"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2,7%</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1EC5E9FC"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2,6%</w:t>
            </w:r>
          </w:p>
        </w:tc>
        <w:tc>
          <w:tcPr>
            <w:tcW w:w="441" w:type="pct"/>
            <w:tcBorders>
              <w:top w:val="single" w:sz="4" w:space="0" w:color="auto"/>
              <w:left w:val="single" w:sz="4" w:space="0" w:color="auto"/>
              <w:bottom w:val="single" w:sz="4" w:space="0" w:color="auto"/>
              <w:right w:val="single" w:sz="4" w:space="0" w:color="auto"/>
            </w:tcBorders>
            <w:vAlign w:val="center"/>
          </w:tcPr>
          <w:p w14:paraId="29AE29A9"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19810C51"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2,8%</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06C243B0"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2,9%</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65AB7C9E" w14:textId="77777777" w:rsidR="00C96A6F" w:rsidRPr="00312485" w:rsidRDefault="00C96A6F" w:rsidP="00C96A6F">
            <w:pPr>
              <w:shd w:val="clear" w:color="auto" w:fill="FFFFFF"/>
              <w:ind w:firstLine="0"/>
              <w:jc w:val="right"/>
              <w:rPr>
                <w:rFonts w:eastAsia="Calibri"/>
                <w:b/>
                <w:color w:val="000000"/>
                <w:sz w:val="14"/>
                <w:szCs w:val="14"/>
                <w:lang w:val="ro-MD"/>
              </w:rPr>
            </w:pPr>
            <w:r w:rsidRPr="00312485">
              <w:rPr>
                <w:rFonts w:eastAsia="Calibri"/>
                <w:b/>
                <w:color w:val="000000"/>
                <w:sz w:val="14"/>
                <w:szCs w:val="14"/>
                <w:lang w:val="ro-MD"/>
              </w:rPr>
              <w:t>2,9%</w:t>
            </w:r>
          </w:p>
        </w:tc>
      </w:tr>
      <w:tr w:rsidR="00C96A6F" w:rsidRPr="00312485" w14:paraId="5EE874D8"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5AE7DF88"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 xml:space="preserve">Alte venituri </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0C7740F2"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1,6%</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560343E7"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5650D367"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1,5%</w:t>
            </w:r>
          </w:p>
        </w:tc>
        <w:tc>
          <w:tcPr>
            <w:tcW w:w="441" w:type="pct"/>
            <w:tcBorders>
              <w:top w:val="single" w:sz="4" w:space="0" w:color="auto"/>
              <w:left w:val="single" w:sz="4" w:space="0" w:color="auto"/>
              <w:bottom w:val="single" w:sz="4" w:space="0" w:color="auto"/>
              <w:right w:val="single" w:sz="4" w:space="0" w:color="auto"/>
            </w:tcBorders>
            <w:vAlign w:val="center"/>
          </w:tcPr>
          <w:p w14:paraId="75CAF221"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1,8%</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05B7C26B"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1,6%</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5AA4208"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1,6%</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1FB431D5"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1,6%</w:t>
            </w:r>
          </w:p>
        </w:tc>
      </w:tr>
      <w:tr w:rsidR="00C96A6F" w:rsidRPr="00312485" w14:paraId="24F6B708" w14:textId="77777777" w:rsidTr="00E245CF">
        <w:trPr>
          <w:trHeight w:val="258"/>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16D772B7" w14:textId="77777777" w:rsidR="00C96A6F" w:rsidRPr="00312485" w:rsidRDefault="00C96A6F" w:rsidP="00C96A6F">
            <w:pPr>
              <w:shd w:val="clear" w:color="auto" w:fill="FFFFFF"/>
              <w:ind w:firstLine="0"/>
              <w:jc w:val="left"/>
              <w:rPr>
                <w:rFonts w:eastAsia="Calibri"/>
                <w:b/>
                <w:bCs/>
                <w:color w:val="000000"/>
                <w:sz w:val="14"/>
                <w:szCs w:val="14"/>
                <w:lang w:val="ro-MD"/>
              </w:rPr>
            </w:pPr>
            <w:r w:rsidRPr="00312485">
              <w:rPr>
                <w:rFonts w:eastAsia="Calibri"/>
                <w:b/>
                <w:bCs/>
                <w:color w:val="000000"/>
                <w:sz w:val="14"/>
                <w:szCs w:val="14"/>
                <w:lang w:val="ro-MD"/>
              </w:rPr>
              <w:t>Granturi</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62588DB3"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1,8%</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7A410735"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0,8%</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2BBE6DC6"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0,3%</w:t>
            </w:r>
          </w:p>
        </w:tc>
        <w:tc>
          <w:tcPr>
            <w:tcW w:w="441" w:type="pct"/>
            <w:tcBorders>
              <w:top w:val="single" w:sz="4" w:space="0" w:color="auto"/>
              <w:left w:val="single" w:sz="4" w:space="0" w:color="auto"/>
              <w:bottom w:val="single" w:sz="4" w:space="0" w:color="auto"/>
              <w:right w:val="single" w:sz="4" w:space="0" w:color="auto"/>
            </w:tcBorders>
            <w:vAlign w:val="center"/>
          </w:tcPr>
          <w:p w14:paraId="4385FF99"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1,4%</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06AB730B"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0,4%</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7A691408"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0,3%</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2C326919" w14:textId="77777777" w:rsidR="00C96A6F" w:rsidRPr="00312485" w:rsidRDefault="00C96A6F" w:rsidP="00C96A6F">
            <w:pPr>
              <w:shd w:val="clear" w:color="auto" w:fill="FFFFFF"/>
              <w:ind w:firstLine="0"/>
              <w:jc w:val="right"/>
              <w:rPr>
                <w:rFonts w:eastAsia="Calibri"/>
                <w:b/>
                <w:bCs/>
                <w:color w:val="000000"/>
                <w:sz w:val="14"/>
                <w:szCs w:val="14"/>
                <w:lang w:val="ro-MD"/>
              </w:rPr>
            </w:pPr>
            <w:r w:rsidRPr="00312485">
              <w:rPr>
                <w:rFonts w:eastAsia="Calibri"/>
                <w:b/>
                <w:bCs/>
                <w:color w:val="000000"/>
                <w:sz w:val="14"/>
                <w:szCs w:val="14"/>
                <w:lang w:val="ro-MD"/>
              </w:rPr>
              <w:t>0,2%</w:t>
            </w:r>
          </w:p>
        </w:tc>
      </w:tr>
      <w:tr w:rsidR="00C96A6F" w:rsidRPr="00312485" w14:paraId="7E83B52B" w14:textId="77777777" w:rsidTr="00E245CF">
        <w:trPr>
          <w:trHeight w:val="245"/>
        </w:trPr>
        <w:tc>
          <w:tcPr>
            <w:tcW w:w="1845" w:type="pct"/>
            <w:gridSpan w:val="2"/>
            <w:tcBorders>
              <w:top w:val="single" w:sz="4" w:space="0" w:color="auto"/>
              <w:left w:val="single" w:sz="4" w:space="0" w:color="auto"/>
              <w:bottom w:val="single" w:sz="4" w:space="0" w:color="auto"/>
              <w:right w:val="single" w:sz="4" w:space="0" w:color="auto"/>
            </w:tcBorders>
            <w:noWrap/>
            <w:vAlign w:val="center"/>
            <w:hideMark/>
          </w:tcPr>
          <w:p w14:paraId="27D8644E" w14:textId="77777777" w:rsidR="00C96A6F" w:rsidRPr="00312485" w:rsidRDefault="00C96A6F" w:rsidP="00C96A6F">
            <w:pPr>
              <w:shd w:val="clear" w:color="auto" w:fill="FFFFFF"/>
              <w:ind w:firstLine="0"/>
              <w:jc w:val="left"/>
              <w:rPr>
                <w:i/>
                <w:iCs/>
                <w:color w:val="000000"/>
                <w:sz w:val="14"/>
                <w:szCs w:val="14"/>
                <w:lang w:val="ro-MD"/>
              </w:rPr>
            </w:pPr>
            <w:r w:rsidRPr="00312485">
              <w:rPr>
                <w:rFonts w:eastAsia="Calibri"/>
                <w:i/>
                <w:iCs/>
                <w:color w:val="000000"/>
                <w:sz w:val="14"/>
                <w:szCs w:val="14"/>
                <w:lang w:val="ro-MD"/>
              </w:rPr>
              <w:t>PIB, informativ (mil.lei)</w:t>
            </w:r>
          </w:p>
        </w:tc>
        <w:tc>
          <w:tcPr>
            <w:tcW w:w="404" w:type="pct"/>
            <w:gridSpan w:val="2"/>
            <w:tcBorders>
              <w:top w:val="single" w:sz="4" w:space="0" w:color="auto"/>
              <w:left w:val="single" w:sz="4" w:space="0" w:color="auto"/>
              <w:bottom w:val="single" w:sz="4" w:space="0" w:color="auto"/>
              <w:right w:val="single" w:sz="4" w:space="0" w:color="auto"/>
            </w:tcBorders>
            <w:noWrap/>
            <w:vAlign w:val="center"/>
            <w:hideMark/>
          </w:tcPr>
          <w:p w14:paraId="338CD93B" w14:textId="77777777" w:rsidR="00C96A6F" w:rsidRPr="00312485" w:rsidRDefault="00C96A6F" w:rsidP="00C96A6F">
            <w:pPr>
              <w:shd w:val="clear" w:color="auto" w:fill="FFFFFF"/>
              <w:ind w:left="-183" w:firstLine="0"/>
              <w:jc w:val="right"/>
              <w:rPr>
                <w:rFonts w:eastAsia="Calibri"/>
                <w:i/>
                <w:color w:val="000000"/>
                <w:sz w:val="14"/>
                <w:szCs w:val="14"/>
                <w:lang w:val="ro-MD"/>
              </w:rPr>
            </w:pPr>
            <w:r w:rsidRPr="00312485">
              <w:rPr>
                <w:rFonts w:eastAsia="Calibri"/>
                <w:i/>
                <w:color w:val="000000"/>
                <w:sz w:val="14"/>
                <w:szCs w:val="14"/>
                <w:lang w:val="ro-MD"/>
              </w:rPr>
              <w:t>303 600</w:t>
            </w:r>
          </w:p>
        </w:tc>
        <w:tc>
          <w:tcPr>
            <w:tcW w:w="434" w:type="pct"/>
            <w:tcBorders>
              <w:top w:val="single" w:sz="4" w:space="0" w:color="auto"/>
              <w:left w:val="single" w:sz="4" w:space="0" w:color="auto"/>
              <w:bottom w:val="single" w:sz="4" w:space="0" w:color="auto"/>
              <w:right w:val="single" w:sz="4" w:space="0" w:color="auto"/>
            </w:tcBorders>
            <w:noWrap/>
            <w:vAlign w:val="center"/>
            <w:hideMark/>
          </w:tcPr>
          <w:p w14:paraId="3D767E8E"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323 800</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05E1EA6D"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384 400</w:t>
            </w:r>
          </w:p>
        </w:tc>
        <w:tc>
          <w:tcPr>
            <w:tcW w:w="441" w:type="pct"/>
            <w:tcBorders>
              <w:top w:val="single" w:sz="4" w:space="0" w:color="auto"/>
              <w:left w:val="single" w:sz="4" w:space="0" w:color="auto"/>
              <w:bottom w:val="single" w:sz="4" w:space="0" w:color="auto"/>
              <w:right w:val="single" w:sz="4" w:space="0" w:color="auto"/>
            </w:tcBorders>
            <w:vAlign w:val="center"/>
          </w:tcPr>
          <w:p w14:paraId="46EB0D19"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351 100</w:t>
            </w:r>
          </w:p>
        </w:tc>
        <w:tc>
          <w:tcPr>
            <w:tcW w:w="498" w:type="pct"/>
            <w:tcBorders>
              <w:top w:val="single" w:sz="4" w:space="0" w:color="auto"/>
              <w:left w:val="single" w:sz="4" w:space="0" w:color="auto"/>
              <w:bottom w:val="single" w:sz="4" w:space="0" w:color="auto"/>
              <w:right w:val="single" w:sz="4" w:space="0" w:color="auto"/>
            </w:tcBorders>
            <w:noWrap/>
            <w:vAlign w:val="center"/>
            <w:hideMark/>
          </w:tcPr>
          <w:p w14:paraId="42624615"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380 300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4F2770D7"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411 700</w:t>
            </w:r>
          </w:p>
        </w:tc>
        <w:tc>
          <w:tcPr>
            <w:tcW w:w="465" w:type="pct"/>
            <w:tcBorders>
              <w:top w:val="single" w:sz="4" w:space="0" w:color="auto"/>
              <w:left w:val="single" w:sz="4" w:space="0" w:color="auto"/>
              <w:bottom w:val="single" w:sz="4" w:space="0" w:color="auto"/>
              <w:right w:val="single" w:sz="4" w:space="0" w:color="auto"/>
            </w:tcBorders>
            <w:noWrap/>
            <w:vAlign w:val="center"/>
            <w:hideMark/>
          </w:tcPr>
          <w:p w14:paraId="3720C072" w14:textId="77777777" w:rsidR="00C96A6F" w:rsidRPr="00312485" w:rsidRDefault="00C96A6F" w:rsidP="00C96A6F">
            <w:pPr>
              <w:shd w:val="clear" w:color="auto" w:fill="FFFFFF"/>
              <w:ind w:firstLine="0"/>
              <w:jc w:val="right"/>
              <w:rPr>
                <w:rFonts w:eastAsia="Calibri"/>
                <w:i/>
                <w:color w:val="000000"/>
                <w:sz w:val="14"/>
                <w:szCs w:val="14"/>
                <w:lang w:val="ro-MD"/>
              </w:rPr>
            </w:pPr>
            <w:r w:rsidRPr="00312485">
              <w:rPr>
                <w:rFonts w:eastAsia="Calibri"/>
                <w:i/>
                <w:color w:val="000000"/>
                <w:sz w:val="14"/>
                <w:szCs w:val="14"/>
                <w:lang w:val="ro-MD"/>
              </w:rPr>
              <w:t>440 700</w:t>
            </w:r>
          </w:p>
        </w:tc>
      </w:tr>
    </w:tbl>
    <w:p w14:paraId="4EB81175" w14:textId="77777777" w:rsidR="00C96A6F" w:rsidRPr="00312485" w:rsidRDefault="00C96A6F" w:rsidP="0043250C">
      <w:pPr>
        <w:ind w:left="567" w:firstLine="0"/>
        <w:rPr>
          <w:rFonts w:eastAsia="Calibri"/>
          <w:bCs/>
          <w:i/>
          <w:iCs/>
          <w:color w:val="000000"/>
          <w:sz w:val="16"/>
          <w:szCs w:val="22"/>
          <w:lang w:val="ro-MD"/>
        </w:rPr>
      </w:pPr>
      <w:r w:rsidRPr="00312485">
        <w:rPr>
          <w:rFonts w:eastAsia="Calibri"/>
          <w:bCs/>
          <w:i/>
          <w:iCs/>
          <w:color w:val="000000"/>
          <w:sz w:val="16"/>
          <w:szCs w:val="22"/>
          <w:lang w:val="ro-MD"/>
        </w:rPr>
        <w:t>Sursa: Ministerul Finanțelor</w:t>
      </w:r>
    </w:p>
    <w:p w14:paraId="3914E06C" w14:textId="4441A50B" w:rsidR="001B319D" w:rsidRPr="00312485" w:rsidRDefault="001B319D" w:rsidP="001B319D">
      <w:pPr>
        <w:pStyle w:val="Titlu2"/>
        <w:spacing w:before="240"/>
        <w:jc w:val="both"/>
        <w:rPr>
          <w:rStyle w:val="Titlu2Caracter"/>
          <w:rFonts w:ascii="Times New Roman" w:hAnsi="Times New Roman"/>
          <w:sz w:val="24"/>
          <w:szCs w:val="28"/>
          <w:lang w:val="ro-MD"/>
        </w:rPr>
      </w:pPr>
      <w:r w:rsidRPr="005431AB">
        <w:rPr>
          <w:rStyle w:val="Titlu2Caracter"/>
          <w:rFonts w:ascii="Times New Roman" w:hAnsi="Times New Roman"/>
          <w:i/>
          <w:sz w:val="24"/>
          <w:szCs w:val="28"/>
          <w:lang w:val="ro-MD"/>
        </w:rPr>
        <w:lastRenderedPageBreak/>
        <w:t>Impozitele și taxele</w:t>
      </w:r>
      <w:r w:rsidRPr="00312485">
        <w:rPr>
          <w:rStyle w:val="Titlu2Caracter"/>
          <w:rFonts w:ascii="Times New Roman" w:hAnsi="Times New Roman"/>
          <w:sz w:val="24"/>
          <w:szCs w:val="28"/>
          <w:lang w:val="ro-MD"/>
        </w:rPr>
        <w:t xml:space="preserve"> reprezintă partea majoră din veniturile bugetului public național, constituind în anii 2026-2028 circa 63,0% din totalul veniturilor, preponderent din contul încasărilor din impozite și taxe pe mărfuri și servicii. Pe termen mediu această grupă de venituri va crește cu un ritm mediu anual de 8,7 la sută.</w:t>
      </w:r>
    </w:p>
    <w:p w14:paraId="70F26E77" w14:textId="77777777" w:rsidR="001B319D" w:rsidRPr="00312485" w:rsidRDefault="001B319D" w:rsidP="001B319D">
      <w:pPr>
        <w:pStyle w:val="Titlu2"/>
        <w:jc w:val="both"/>
        <w:rPr>
          <w:rStyle w:val="Titlu2Caracter"/>
          <w:rFonts w:ascii="Times New Roman" w:hAnsi="Times New Roman"/>
          <w:sz w:val="24"/>
          <w:szCs w:val="28"/>
          <w:lang w:val="ro-MD"/>
        </w:rPr>
      </w:pPr>
      <w:r w:rsidRPr="005431AB">
        <w:rPr>
          <w:rStyle w:val="Titlu2Caracter"/>
          <w:rFonts w:ascii="Times New Roman" w:hAnsi="Times New Roman"/>
          <w:i/>
          <w:sz w:val="24"/>
          <w:szCs w:val="28"/>
          <w:lang w:val="ro-MD"/>
        </w:rPr>
        <w:t>Contribuțiile de asigurări sociale și medicale</w:t>
      </w:r>
      <w:r w:rsidRPr="00312485">
        <w:rPr>
          <w:rStyle w:val="Titlu2Caracter"/>
          <w:rFonts w:ascii="Times New Roman" w:hAnsi="Times New Roman"/>
          <w:sz w:val="24"/>
          <w:szCs w:val="28"/>
          <w:lang w:val="ro-MD"/>
        </w:rPr>
        <w:t xml:space="preserve"> pe perioada de prognoză în totalul veniturilor vor crește până la 32,2% în 2028 față de 31,8% în 2026 ca urmarea a creșterii fondului de remunerare a muncii pe termen mediu cu circa 9 la sută.</w:t>
      </w:r>
    </w:p>
    <w:p w14:paraId="72E7F404" w14:textId="67D798E7" w:rsidR="00D17564" w:rsidRPr="00312485" w:rsidRDefault="00D17564" w:rsidP="00D17564">
      <w:pPr>
        <w:autoSpaceDE w:val="0"/>
        <w:autoSpaceDN w:val="0"/>
        <w:adjustRightInd w:val="0"/>
        <w:ind w:firstLine="567"/>
        <w:rPr>
          <w:i/>
          <w:sz w:val="24"/>
          <w:szCs w:val="24"/>
          <w:lang w:val="ro-MD"/>
        </w:rPr>
      </w:pPr>
    </w:p>
    <w:p w14:paraId="306024DF" w14:textId="77777777" w:rsidR="00D17564" w:rsidRPr="00312485" w:rsidRDefault="00D17564" w:rsidP="00231A6B">
      <w:pPr>
        <w:pStyle w:val="Titlu2"/>
        <w:tabs>
          <w:tab w:val="left" w:pos="397"/>
          <w:tab w:val="left" w:pos="993"/>
        </w:tabs>
        <w:ind w:firstLine="567"/>
        <w:jc w:val="left"/>
        <w:rPr>
          <w:rFonts w:ascii="Times New Roman" w:hAnsi="Times New Roman"/>
          <w:sz w:val="24"/>
          <w:szCs w:val="24"/>
          <w:lang w:val="ro-MD"/>
        </w:rPr>
      </w:pPr>
      <w:r w:rsidRPr="00312485">
        <w:rPr>
          <w:rFonts w:ascii="Times New Roman" w:hAnsi="Times New Roman"/>
          <w:sz w:val="24"/>
          <w:szCs w:val="24"/>
          <w:lang w:val="ro-MD"/>
        </w:rPr>
        <w:t>C. Cheltuieli</w:t>
      </w:r>
    </w:p>
    <w:p w14:paraId="6270511A" w14:textId="77777777" w:rsidR="00EF3B46" w:rsidRPr="00312485" w:rsidRDefault="00EF3B46" w:rsidP="00D17564">
      <w:pPr>
        <w:ind w:firstLine="447"/>
        <w:rPr>
          <w:b/>
          <w:bCs/>
          <w:i/>
          <w:sz w:val="24"/>
          <w:szCs w:val="24"/>
          <w:lang w:val="ro-MD"/>
        </w:rPr>
      </w:pPr>
    </w:p>
    <w:p w14:paraId="737349B6" w14:textId="479962CE" w:rsidR="00D17564" w:rsidRPr="00312485" w:rsidRDefault="00D17564" w:rsidP="00D17564">
      <w:pPr>
        <w:ind w:firstLine="447"/>
        <w:rPr>
          <w:b/>
          <w:i/>
          <w:sz w:val="24"/>
          <w:szCs w:val="24"/>
          <w:lang w:val="ro-MD" w:eastAsia="ro-RO"/>
        </w:rPr>
      </w:pPr>
      <w:r w:rsidRPr="00312485">
        <w:rPr>
          <w:b/>
          <w:bCs/>
          <w:i/>
          <w:sz w:val="24"/>
          <w:szCs w:val="24"/>
          <w:lang w:val="ro-MD"/>
        </w:rPr>
        <w:t xml:space="preserve">Prioritățile de cheltuieli în conformitate cu </w:t>
      </w:r>
      <w:r w:rsidRPr="00312485">
        <w:rPr>
          <w:b/>
          <w:i/>
          <w:sz w:val="24"/>
          <w:szCs w:val="24"/>
          <w:lang w:val="ro-MD"/>
        </w:rPr>
        <w:t>Agenda de reforme</w:t>
      </w:r>
      <w:r w:rsidRPr="00312485">
        <w:rPr>
          <w:b/>
          <w:bCs/>
          <w:i/>
          <w:sz w:val="24"/>
          <w:szCs w:val="24"/>
          <w:lang w:val="ro-MD"/>
        </w:rPr>
        <w:t xml:space="preserve"> aferente </w:t>
      </w:r>
      <w:r w:rsidRPr="00312485">
        <w:rPr>
          <w:b/>
          <w:i/>
          <w:sz w:val="24"/>
          <w:szCs w:val="24"/>
          <w:lang w:val="ro-MD" w:eastAsia="ro-RO"/>
        </w:rPr>
        <w:t xml:space="preserve">Planului de </w:t>
      </w:r>
      <w:r w:rsidR="00C2723E" w:rsidRPr="00312485">
        <w:rPr>
          <w:b/>
          <w:i/>
          <w:sz w:val="24"/>
          <w:szCs w:val="24"/>
          <w:lang w:val="ro-MD" w:eastAsia="ro-RO"/>
        </w:rPr>
        <w:t>creștere</w:t>
      </w:r>
      <w:r w:rsidRPr="00312485">
        <w:rPr>
          <w:b/>
          <w:i/>
          <w:sz w:val="24"/>
          <w:szCs w:val="24"/>
          <w:lang w:val="ro-MD" w:eastAsia="ro-RO"/>
        </w:rPr>
        <w:t xml:space="preserve"> economică al RM </w:t>
      </w:r>
    </w:p>
    <w:p w14:paraId="7BD84BD3" w14:textId="3ADCFB47" w:rsidR="00163926" w:rsidRPr="00312485" w:rsidRDefault="00163926" w:rsidP="00163926">
      <w:pPr>
        <w:pStyle w:val="NormalWeb"/>
        <w:ind w:firstLine="708"/>
        <w:rPr>
          <w:lang w:val="ro-MD"/>
        </w:rPr>
      </w:pPr>
      <w:r w:rsidRPr="00312485">
        <w:rPr>
          <w:lang w:val="ro-MD"/>
        </w:rPr>
        <w:t>Structura bugetară (anexa</w:t>
      </w:r>
      <w:r w:rsidR="0099029D" w:rsidRPr="00312485">
        <w:rPr>
          <w:lang w:val="ro-MD"/>
        </w:rPr>
        <w:t xml:space="preserve"> nr.25</w:t>
      </w:r>
      <w:r w:rsidRPr="00312485">
        <w:rPr>
          <w:lang w:val="ro-MD"/>
        </w:rPr>
        <w:t>)</w:t>
      </w:r>
      <w:r w:rsidR="007464FE" w:rsidRPr="00312485">
        <w:rPr>
          <w:lang w:val="ro-MD"/>
        </w:rPr>
        <w:t>,</w:t>
      </w:r>
      <w:r w:rsidRPr="00312485">
        <w:rPr>
          <w:lang w:val="ro-MD"/>
        </w:rPr>
        <w:t xml:space="preserve"> aferentă perioadei 2025–2028</w:t>
      </w:r>
      <w:r w:rsidR="007464FE" w:rsidRPr="00312485">
        <w:rPr>
          <w:lang w:val="ro-MD"/>
        </w:rPr>
        <w:t>,</w:t>
      </w:r>
      <w:r w:rsidRPr="00312485">
        <w:rPr>
          <w:lang w:val="ro-MD"/>
        </w:rPr>
        <w:t xml:space="preserve"> reflectă o corelare directă între alocările financiare și cei șapte piloni ai Agendei de reforme, evidențiind o orientare clară către modernizarea infrastructurii, dezvoltarea economică, tranziția verde și consolidarea capitalului social.</w:t>
      </w:r>
    </w:p>
    <w:p w14:paraId="33E1C55B" w14:textId="49FED77E" w:rsidR="00163926" w:rsidRPr="00312485" w:rsidRDefault="00163926" w:rsidP="00163926">
      <w:pPr>
        <w:pStyle w:val="NormalWeb"/>
        <w:ind w:firstLine="708"/>
        <w:rPr>
          <w:lang w:val="ro-MD"/>
        </w:rPr>
      </w:pPr>
      <w:r w:rsidRPr="00312485">
        <w:rPr>
          <w:lang w:val="ro-MD"/>
        </w:rPr>
        <w:t xml:space="preserve">Cea mai mare pondere a resurselor este direcționată către </w:t>
      </w:r>
      <w:r w:rsidRPr="00054578">
        <w:rPr>
          <w:rStyle w:val="Robust"/>
          <w:b w:val="0"/>
          <w:i/>
          <w:lang w:val="ro-MD"/>
        </w:rPr>
        <w:t>transport și infrastructură</w:t>
      </w:r>
      <w:r w:rsidRPr="00312485">
        <w:rPr>
          <w:lang w:val="ro-MD"/>
        </w:rPr>
        <w:t xml:space="preserve"> (aprox</w:t>
      </w:r>
      <w:r w:rsidR="001718BC" w:rsidRPr="00312485">
        <w:rPr>
          <w:lang w:val="ro-MD"/>
        </w:rPr>
        <w:t>imativ</w:t>
      </w:r>
      <w:r w:rsidRPr="00312485">
        <w:rPr>
          <w:lang w:val="ro-MD"/>
        </w:rPr>
        <w:t xml:space="preserve"> 9</w:t>
      </w:r>
      <w:r w:rsidR="00EE2F38" w:rsidRPr="00312485">
        <w:rPr>
          <w:lang w:val="ro-MD"/>
        </w:rPr>
        <w:t xml:space="preserve"> </w:t>
      </w:r>
      <w:r w:rsidRPr="00312485">
        <w:rPr>
          <w:lang w:val="ro-MD"/>
        </w:rPr>
        <w:t>715 mil. lei, reprezentând 42,2% din total), ceea ce indică prioritatea acordată conectivității rutiere, feroviare și logistice, esențiale pentru integrarea economică și mobilitatea mărfurilor și persoanelor.</w:t>
      </w:r>
    </w:p>
    <w:p w14:paraId="775CF684" w14:textId="05DB75A4" w:rsidR="00163926" w:rsidRPr="00312485" w:rsidRDefault="00163926" w:rsidP="00163926">
      <w:pPr>
        <w:pStyle w:val="NormalWeb"/>
        <w:ind w:firstLine="708"/>
        <w:rPr>
          <w:lang w:val="ro-MD"/>
        </w:rPr>
      </w:pPr>
      <w:r w:rsidRPr="00054578">
        <w:rPr>
          <w:rStyle w:val="Robust"/>
          <w:b w:val="0"/>
          <w:i/>
          <w:lang w:val="ro-MD"/>
        </w:rPr>
        <w:t>Dezvoltarea economică și sprijinul pentru mediul de afaceri</w:t>
      </w:r>
      <w:r w:rsidR="00EE2F38" w:rsidRPr="00312485">
        <w:rPr>
          <w:lang w:val="ro-MD"/>
        </w:rPr>
        <w:t xml:space="preserve"> beneficiază de circa 5 </w:t>
      </w:r>
      <w:r w:rsidRPr="00312485">
        <w:rPr>
          <w:lang w:val="ro-MD"/>
        </w:rPr>
        <w:t>220 mil. lei (22,7%), incluzând investiții în digitalizare, sprijin pentru IMM-uri, dezvoltarea platformelor industriale și acces la finanțare. Aceste alocări au rolul de a stimula competitivitatea și de a atrage investiții private.</w:t>
      </w:r>
    </w:p>
    <w:p w14:paraId="446A2A94" w14:textId="6DF22EC3" w:rsidR="00163926" w:rsidRPr="00312485" w:rsidRDefault="00163926" w:rsidP="00163926">
      <w:pPr>
        <w:pStyle w:val="NormalWeb"/>
        <w:ind w:firstLine="708"/>
        <w:rPr>
          <w:lang w:val="ro-MD"/>
        </w:rPr>
      </w:pPr>
      <w:r w:rsidRPr="00054578">
        <w:rPr>
          <w:rStyle w:val="Robust"/>
          <w:b w:val="0"/>
          <w:i/>
          <w:lang w:val="ro-MD"/>
        </w:rPr>
        <w:t>Agricultura și dezvoltarea rurală</w:t>
      </w:r>
      <w:r w:rsidRPr="00312485">
        <w:rPr>
          <w:lang w:val="ro-MD"/>
        </w:rPr>
        <w:t xml:space="preserve"> primesc aproximativ 2</w:t>
      </w:r>
      <w:r w:rsidR="0068527F" w:rsidRPr="00312485">
        <w:rPr>
          <w:lang w:val="ro-MD"/>
        </w:rPr>
        <w:t xml:space="preserve"> </w:t>
      </w:r>
      <w:r w:rsidRPr="00312485">
        <w:rPr>
          <w:lang w:val="ro-MD"/>
        </w:rPr>
        <w:t>903 mil. lei (12,6%), cu accent pe infrastructura de irigații, consultanță agricolă, laboratoare acreditate și mecanisme de sprijin financiar, contribuind la creșterea productivității și la reducerea decalajelor dintre mediul urban și rural.</w:t>
      </w:r>
    </w:p>
    <w:p w14:paraId="37F036B9" w14:textId="78FA4661" w:rsidR="00163926" w:rsidRPr="00312485" w:rsidRDefault="00163926" w:rsidP="00163926">
      <w:pPr>
        <w:pStyle w:val="NormalWeb"/>
        <w:ind w:firstLine="708"/>
        <w:rPr>
          <w:lang w:val="ro-MD"/>
        </w:rPr>
      </w:pPr>
      <w:r w:rsidRPr="00054578">
        <w:rPr>
          <w:rStyle w:val="Robust"/>
          <w:b w:val="0"/>
          <w:i/>
          <w:lang w:val="ro-MD"/>
        </w:rPr>
        <w:t>Energia și tranziția verde</w:t>
      </w:r>
      <w:r w:rsidR="00EE2F38" w:rsidRPr="00312485">
        <w:rPr>
          <w:lang w:val="ro-MD"/>
        </w:rPr>
        <w:t xml:space="preserve"> dispun de circa 2 </w:t>
      </w:r>
      <w:r w:rsidRPr="00312485">
        <w:rPr>
          <w:lang w:val="ro-MD"/>
        </w:rPr>
        <w:t>396 mil. lei (10,4%), alocări orientate către securitatea aprovizionării, eficiență energetică, energie regenerabilă și adaptare la schimbările climatice, în linie cu angajamentele de reducere a dependenței energetice și protecția mediului.</w:t>
      </w:r>
    </w:p>
    <w:p w14:paraId="15703193" w14:textId="39446115" w:rsidR="00163926" w:rsidRPr="00312485" w:rsidRDefault="00163926" w:rsidP="00163926">
      <w:pPr>
        <w:pStyle w:val="NormalWeb"/>
        <w:ind w:firstLine="708"/>
        <w:rPr>
          <w:lang w:val="ro-MD"/>
        </w:rPr>
      </w:pPr>
      <w:r w:rsidRPr="00054578">
        <w:rPr>
          <w:rStyle w:val="Robust"/>
          <w:b w:val="0"/>
          <w:i/>
          <w:lang w:val="ro-MD"/>
        </w:rPr>
        <w:t>Capitalul social</w:t>
      </w:r>
      <w:r w:rsidRPr="00312485">
        <w:rPr>
          <w:lang w:val="ro-MD"/>
        </w:rPr>
        <w:t xml:space="preserve"> – educație, sănătate și protecție socială – are o alocare totală de aproximativ 2</w:t>
      </w:r>
      <w:r w:rsidR="00EE2F38" w:rsidRPr="00312485">
        <w:rPr>
          <w:lang w:val="ro-MD"/>
        </w:rPr>
        <w:t xml:space="preserve"> </w:t>
      </w:r>
      <w:r w:rsidRPr="00312485">
        <w:rPr>
          <w:lang w:val="ro-MD"/>
        </w:rPr>
        <w:t>022 mil. lei (8,8%), direcționată spre modernizarea infrastructurii educaționale și medicale, îmbunătățirea calității serviciilor publice și sprijinirea grupurilor vulnerabile.</w:t>
      </w:r>
    </w:p>
    <w:p w14:paraId="661E4C6E" w14:textId="6B28C11E" w:rsidR="00163926" w:rsidRPr="00312485" w:rsidRDefault="00163926" w:rsidP="00163926">
      <w:pPr>
        <w:pStyle w:val="NormalWeb"/>
        <w:ind w:firstLine="708"/>
        <w:rPr>
          <w:lang w:val="ro-MD"/>
        </w:rPr>
      </w:pPr>
      <w:r w:rsidRPr="00312485">
        <w:rPr>
          <w:lang w:val="ro-MD"/>
        </w:rPr>
        <w:t xml:space="preserve">Domeniile </w:t>
      </w:r>
      <w:r w:rsidR="00054578">
        <w:rPr>
          <w:rStyle w:val="Robust"/>
          <w:b w:val="0"/>
          <w:i/>
          <w:lang w:val="ro-MD"/>
        </w:rPr>
        <w:t>Or</w:t>
      </w:r>
      <w:r w:rsidRPr="00054578">
        <w:rPr>
          <w:rStyle w:val="Robust"/>
          <w:b w:val="0"/>
          <w:i/>
          <w:lang w:val="ro-MD"/>
        </w:rPr>
        <w:t xml:space="preserve">dine publică și </w:t>
      </w:r>
      <w:r w:rsidR="00EE2F38" w:rsidRPr="00054578">
        <w:rPr>
          <w:rStyle w:val="Robust"/>
          <w:b w:val="0"/>
          <w:i/>
          <w:lang w:val="ro-MD"/>
        </w:rPr>
        <w:t>s</w:t>
      </w:r>
      <w:r w:rsidRPr="00054578">
        <w:rPr>
          <w:rStyle w:val="Robust"/>
          <w:b w:val="0"/>
          <w:i/>
          <w:lang w:val="ro-MD"/>
        </w:rPr>
        <w:t>ecuritate</w:t>
      </w:r>
      <w:r w:rsidRPr="00312485">
        <w:rPr>
          <w:lang w:val="ro-MD"/>
        </w:rPr>
        <w:t xml:space="preserve"> primesc circa 456 mil. lei (2,0%), axate pe siguranța cetățenilor și combaterea criminalității, iar </w:t>
      </w:r>
      <w:r w:rsidRPr="00054578">
        <w:rPr>
          <w:rStyle w:val="Robust"/>
          <w:b w:val="0"/>
          <w:i/>
          <w:lang w:val="ro-MD"/>
        </w:rPr>
        <w:t>guvernanța și serviciile generale de stat</w:t>
      </w:r>
      <w:r w:rsidRPr="00312485">
        <w:rPr>
          <w:lang w:val="ro-MD"/>
        </w:rPr>
        <w:t xml:space="preserve"> aproximativ 75 mil. lei (0,3%), cu focus pe eficientizarea administrației publice. </w:t>
      </w:r>
    </w:p>
    <w:p w14:paraId="0C2A8A21" w14:textId="406FC3D0" w:rsidR="00163926" w:rsidRPr="00312485" w:rsidRDefault="00163926" w:rsidP="00163926">
      <w:pPr>
        <w:pStyle w:val="NormalWeb"/>
        <w:ind w:firstLine="708"/>
        <w:rPr>
          <w:lang w:val="ro-MD"/>
        </w:rPr>
      </w:pPr>
      <w:r w:rsidRPr="00312485">
        <w:rPr>
          <w:lang w:val="ro-MD"/>
        </w:rPr>
        <w:t xml:space="preserve">Domeniul </w:t>
      </w:r>
      <w:r w:rsidRPr="00054578">
        <w:rPr>
          <w:rStyle w:val="Robust"/>
          <w:b w:val="0"/>
          <w:i/>
          <w:lang w:val="ro-MD"/>
        </w:rPr>
        <w:t>Culturii</w:t>
      </w:r>
      <w:r w:rsidRPr="00312485">
        <w:rPr>
          <w:lang w:val="ro-MD"/>
        </w:rPr>
        <w:t xml:space="preserve"> beneficiază de 232 mil. lei (1,0%), orientate spre conservarea și valorificarea patrimoniului cultural.</w:t>
      </w:r>
    </w:p>
    <w:p w14:paraId="5701D087" w14:textId="77777777" w:rsidR="00163926" w:rsidRPr="00312485" w:rsidRDefault="00163926" w:rsidP="00163926">
      <w:pPr>
        <w:rPr>
          <w:sz w:val="24"/>
          <w:szCs w:val="24"/>
          <w:lang w:val="ro-MD"/>
        </w:rPr>
      </w:pPr>
      <w:r w:rsidRPr="00312485">
        <w:rPr>
          <w:sz w:val="24"/>
          <w:szCs w:val="24"/>
          <w:lang w:val="ro-MD"/>
        </w:rPr>
        <w:t>În ansamblu, planificarea cheltuielilor reflectă o abordare echilibrată între investițiile în infrastructură, dezvoltarea capitalului uman, modernizarea administrației și tranziția verde, susținând atât creșterea economică, cât și obiectivele de integrare europeană.</w:t>
      </w:r>
    </w:p>
    <w:p w14:paraId="28DFCEFE" w14:textId="25D89A54" w:rsidR="00D17564" w:rsidRPr="00312485" w:rsidRDefault="00D17564" w:rsidP="001067DB">
      <w:pPr>
        <w:spacing w:before="120"/>
        <w:ind w:firstLine="567"/>
        <w:rPr>
          <w:b/>
          <w:bCs/>
          <w:i/>
          <w:sz w:val="24"/>
          <w:szCs w:val="24"/>
          <w:lang w:val="ro-MD"/>
        </w:rPr>
      </w:pPr>
      <w:r w:rsidRPr="00312485">
        <w:rPr>
          <w:b/>
          <w:bCs/>
          <w:i/>
          <w:sz w:val="24"/>
          <w:szCs w:val="24"/>
          <w:lang w:val="ro-MD"/>
        </w:rPr>
        <w:t>Prioritățile politicii cheltuielilor pe termen mediu</w:t>
      </w:r>
    </w:p>
    <w:p w14:paraId="0B263EE1" w14:textId="0FD81940" w:rsidR="001067DB" w:rsidRPr="00312485" w:rsidRDefault="001067DB" w:rsidP="001067DB">
      <w:pPr>
        <w:tabs>
          <w:tab w:val="left" w:pos="993"/>
        </w:tabs>
        <w:ind w:firstLine="567"/>
        <w:rPr>
          <w:noProof/>
          <w:sz w:val="24"/>
          <w:szCs w:val="28"/>
          <w:lang w:val="ro-MD"/>
        </w:rPr>
      </w:pPr>
      <w:r w:rsidRPr="00312485">
        <w:rPr>
          <w:noProof/>
          <w:sz w:val="24"/>
          <w:szCs w:val="28"/>
          <w:lang w:val="ro-MD"/>
        </w:rPr>
        <w:t>Pe termen mediu obiectivul general al Guvernului rămâne a fi focusat pe continuarea măsurilor de redresare economică, accelerarea creșterii economice, menținerea și susținerea unui cadru de dezvoltare durabilă</w:t>
      </w:r>
      <w:r w:rsidR="00585995">
        <w:rPr>
          <w:noProof/>
          <w:sz w:val="24"/>
          <w:szCs w:val="28"/>
          <w:lang w:val="ro-MD"/>
        </w:rPr>
        <w:t>.</w:t>
      </w:r>
      <w:r w:rsidRPr="00312485">
        <w:rPr>
          <w:noProof/>
          <w:sz w:val="24"/>
          <w:szCs w:val="28"/>
          <w:lang w:val="ro-MD"/>
        </w:rPr>
        <w:t xml:space="preserve"> De asemenea, Guvernul în continuare va asigura consolidarea finanțelor publice, alocarea eficientă a mijloacelor bugetare către priorități bine definite,  responsabilitatea și transparența în utilizarea fondurilor/mijloacelor publice, dar și implementarea măsurilor de eficientizare calitativă a cheltuielilor. </w:t>
      </w:r>
    </w:p>
    <w:p w14:paraId="5546E6CC" w14:textId="77777777" w:rsidR="001067DB" w:rsidRPr="00312485" w:rsidRDefault="001067DB" w:rsidP="001067DB">
      <w:pPr>
        <w:tabs>
          <w:tab w:val="left" w:pos="993"/>
        </w:tabs>
        <w:rPr>
          <w:noProof/>
          <w:sz w:val="24"/>
          <w:szCs w:val="28"/>
          <w:lang w:val="ro-MD"/>
        </w:rPr>
      </w:pPr>
      <w:r w:rsidRPr="00312485">
        <w:rPr>
          <w:noProof/>
          <w:sz w:val="24"/>
          <w:szCs w:val="28"/>
          <w:lang w:val="ro-MD"/>
        </w:rPr>
        <w:lastRenderedPageBreak/>
        <w:t>Stabilirea priorităților de politici publice este corelată cu atingerea obiectivelor naționale definite în Planul Național de Acțiuni pentru aderarea Republicii Moldova la Uniunea Europeană pentru anii 2025-2029, Planul național de dezvoltare pentru anii 2026-2028, Agenda de reforme aferentă Planului de creştere al Republicii Moldova pentru 2025-2027, precum și alte angajamente față de partenerii de dezvoltare.</w:t>
      </w:r>
    </w:p>
    <w:p w14:paraId="1C110EA2" w14:textId="77777777" w:rsidR="001067DB" w:rsidRPr="00312485" w:rsidRDefault="001067DB" w:rsidP="001067DB">
      <w:pPr>
        <w:tabs>
          <w:tab w:val="left" w:pos="993"/>
        </w:tabs>
        <w:rPr>
          <w:noProof/>
          <w:sz w:val="24"/>
          <w:szCs w:val="28"/>
          <w:lang w:val="ro-MD"/>
        </w:rPr>
      </w:pPr>
      <w:r w:rsidRPr="00312485">
        <w:rPr>
          <w:noProof/>
          <w:sz w:val="24"/>
          <w:szCs w:val="28"/>
          <w:lang w:val="ro-MD"/>
        </w:rPr>
        <w:t>Prioritățile în domeniul cheltuielilor publice sunt următoarele:</w:t>
      </w:r>
    </w:p>
    <w:p w14:paraId="556B0D41" w14:textId="77777777" w:rsidR="001067DB" w:rsidRPr="00312485" w:rsidRDefault="001067DB" w:rsidP="001067DB">
      <w:pPr>
        <w:pStyle w:val="Listparagraf"/>
        <w:numPr>
          <w:ilvl w:val="0"/>
          <w:numId w:val="36"/>
        </w:numPr>
        <w:tabs>
          <w:tab w:val="left" w:pos="993"/>
        </w:tabs>
        <w:ind w:left="0" w:firstLine="709"/>
        <w:rPr>
          <w:noProof/>
          <w:sz w:val="24"/>
          <w:szCs w:val="28"/>
          <w:lang w:val="ro-MD"/>
        </w:rPr>
      </w:pPr>
      <w:r w:rsidRPr="00312485">
        <w:rPr>
          <w:noProof/>
          <w:sz w:val="24"/>
          <w:szCs w:val="28"/>
          <w:lang w:val="ro-MD"/>
        </w:rPr>
        <w:t>susținerea programelor de cheltuieli din domeniile economiei naționale în scopul impulsionării dezvoltării întreprinderilor mici și mijlocii, al susținerii producătorilor agricoli, dezvoltării transporturilor și modernizării infrastructurii drumurilor, asigurării securității energetice a țării;</w:t>
      </w:r>
    </w:p>
    <w:p w14:paraId="06E85D7E" w14:textId="77777777" w:rsidR="001067DB" w:rsidRPr="00312485" w:rsidRDefault="001067DB" w:rsidP="001067DB">
      <w:pPr>
        <w:pStyle w:val="Listparagraf"/>
        <w:numPr>
          <w:ilvl w:val="0"/>
          <w:numId w:val="36"/>
        </w:numPr>
        <w:tabs>
          <w:tab w:val="left" w:pos="993"/>
        </w:tabs>
        <w:ind w:left="0" w:firstLine="709"/>
        <w:rPr>
          <w:noProof/>
          <w:sz w:val="24"/>
          <w:szCs w:val="28"/>
          <w:lang w:val="ro-MD"/>
        </w:rPr>
      </w:pPr>
      <w:r w:rsidRPr="00312485">
        <w:rPr>
          <w:noProof/>
          <w:sz w:val="24"/>
          <w:szCs w:val="28"/>
          <w:lang w:val="ro-MD"/>
        </w:rPr>
        <w:t>consolidarea capacităților instituționale ale autorităților publice implicate în pregătirea pentru aderarea Republicii Moldova la UE și pentru alinierea legislației naționale la legislația UE;</w:t>
      </w:r>
    </w:p>
    <w:p w14:paraId="1B576D50" w14:textId="77777777" w:rsidR="001067DB" w:rsidRPr="00312485" w:rsidRDefault="001067DB" w:rsidP="001067DB">
      <w:pPr>
        <w:pStyle w:val="Listparagraf"/>
        <w:numPr>
          <w:ilvl w:val="0"/>
          <w:numId w:val="36"/>
        </w:numPr>
        <w:tabs>
          <w:tab w:val="left" w:pos="993"/>
        </w:tabs>
        <w:ind w:left="0" w:firstLine="709"/>
        <w:rPr>
          <w:noProof/>
          <w:sz w:val="24"/>
          <w:szCs w:val="28"/>
          <w:lang w:val="ro-MD"/>
        </w:rPr>
      </w:pPr>
      <w:r w:rsidRPr="00312485">
        <w:rPr>
          <w:noProof/>
          <w:sz w:val="24"/>
          <w:szCs w:val="28"/>
          <w:lang w:val="ro-MD"/>
        </w:rPr>
        <w:t xml:space="preserve">susținerea programelor de protecție socială a populației; </w:t>
      </w:r>
    </w:p>
    <w:p w14:paraId="040954EE" w14:textId="77777777" w:rsidR="001067DB" w:rsidRPr="00312485" w:rsidRDefault="001067DB" w:rsidP="001067DB">
      <w:pPr>
        <w:pStyle w:val="Listparagraf"/>
        <w:numPr>
          <w:ilvl w:val="0"/>
          <w:numId w:val="36"/>
        </w:numPr>
        <w:tabs>
          <w:tab w:val="left" w:pos="993"/>
        </w:tabs>
        <w:ind w:left="0" w:firstLine="709"/>
        <w:rPr>
          <w:noProof/>
          <w:sz w:val="24"/>
          <w:szCs w:val="28"/>
          <w:lang w:val="ro-MD"/>
        </w:rPr>
      </w:pPr>
      <w:r w:rsidRPr="00312485">
        <w:rPr>
          <w:noProof/>
          <w:sz w:val="24"/>
          <w:szCs w:val="28"/>
          <w:lang w:val="ro-MD"/>
        </w:rPr>
        <w:t>modernizarea infrastructurii unor instituții medico-sanitare;</w:t>
      </w:r>
    </w:p>
    <w:p w14:paraId="750BF125" w14:textId="77777777" w:rsidR="001067DB" w:rsidRPr="00312485" w:rsidRDefault="001067DB" w:rsidP="001067DB">
      <w:pPr>
        <w:pStyle w:val="Listparagraf"/>
        <w:numPr>
          <w:ilvl w:val="0"/>
          <w:numId w:val="36"/>
        </w:numPr>
        <w:tabs>
          <w:tab w:val="left" w:pos="993"/>
        </w:tabs>
        <w:ind w:left="0" w:firstLine="709"/>
        <w:rPr>
          <w:noProof/>
          <w:sz w:val="24"/>
          <w:szCs w:val="28"/>
          <w:lang w:val="ro-MD"/>
        </w:rPr>
      </w:pPr>
      <w:r w:rsidRPr="00312485">
        <w:rPr>
          <w:noProof/>
          <w:sz w:val="24"/>
          <w:szCs w:val="28"/>
          <w:lang w:val="ro-MD"/>
        </w:rPr>
        <w:t>dezvoltarea infrastructurii regionale și locale.</w:t>
      </w:r>
    </w:p>
    <w:p w14:paraId="01A543DD" w14:textId="77777777" w:rsidR="001B758A" w:rsidRPr="00312485" w:rsidRDefault="001B758A" w:rsidP="001B758A">
      <w:pPr>
        <w:spacing w:before="120"/>
        <w:ind w:firstLine="448"/>
        <w:rPr>
          <w:b/>
          <w:bCs/>
          <w:i/>
          <w:color w:val="FF0000"/>
          <w:sz w:val="24"/>
          <w:szCs w:val="24"/>
          <w:lang w:val="ro-MD"/>
        </w:rPr>
      </w:pPr>
    </w:p>
    <w:p w14:paraId="5511C09E" w14:textId="647609FF" w:rsidR="00D17564" w:rsidRPr="00312485" w:rsidRDefault="00D17564" w:rsidP="001067DB">
      <w:pPr>
        <w:autoSpaceDE w:val="0"/>
        <w:autoSpaceDN w:val="0"/>
        <w:adjustRightInd w:val="0"/>
        <w:ind w:firstLine="567"/>
        <w:rPr>
          <w:b/>
          <w:bCs/>
          <w:i/>
          <w:sz w:val="24"/>
          <w:szCs w:val="24"/>
          <w:lang w:val="ro-MD"/>
        </w:rPr>
      </w:pPr>
      <w:r w:rsidRPr="00312485">
        <w:rPr>
          <w:b/>
          <w:bCs/>
          <w:i/>
          <w:sz w:val="24"/>
          <w:szCs w:val="24"/>
          <w:lang w:val="ro-MD"/>
        </w:rPr>
        <w:t>Prognoza cheltuielilor pe termen mediu: 2025-2028</w:t>
      </w:r>
    </w:p>
    <w:p w14:paraId="0362ABAD" w14:textId="77777777" w:rsidR="001067DB" w:rsidRPr="00312485" w:rsidRDefault="001067DB" w:rsidP="00E70221">
      <w:pPr>
        <w:tabs>
          <w:tab w:val="left" w:pos="993"/>
        </w:tabs>
        <w:spacing w:before="120"/>
        <w:ind w:firstLine="567"/>
        <w:rPr>
          <w:rFonts w:eastAsia="Calibri"/>
          <w:i/>
          <w:noProof/>
          <w:sz w:val="24"/>
          <w:szCs w:val="28"/>
          <w:lang w:val="ro-MD"/>
        </w:rPr>
      </w:pPr>
      <w:r w:rsidRPr="00312485">
        <w:rPr>
          <w:rFonts w:eastAsia="Calibri"/>
          <w:i/>
          <w:noProof/>
          <w:sz w:val="24"/>
          <w:szCs w:val="28"/>
          <w:lang w:val="ro-MD"/>
        </w:rPr>
        <w:t>Cheltuielile bugetului public național în anul 2025</w:t>
      </w:r>
    </w:p>
    <w:p w14:paraId="7B60C47D" w14:textId="216EF2EE" w:rsidR="001067DB" w:rsidRPr="00312485" w:rsidRDefault="001067DB" w:rsidP="001067DB">
      <w:pPr>
        <w:tabs>
          <w:tab w:val="left" w:pos="993"/>
        </w:tabs>
        <w:ind w:firstLine="567"/>
        <w:rPr>
          <w:rFonts w:eastAsia="Calibri"/>
          <w:noProof/>
          <w:sz w:val="24"/>
          <w:szCs w:val="28"/>
          <w:lang w:val="ro-MD"/>
        </w:rPr>
      </w:pPr>
      <w:r w:rsidRPr="00312485">
        <w:rPr>
          <w:rFonts w:eastAsia="Calibri"/>
          <w:noProof/>
          <w:sz w:val="24"/>
          <w:szCs w:val="28"/>
          <w:lang w:val="ro-MD"/>
        </w:rPr>
        <w:t>În anul 2025</w:t>
      </w:r>
      <w:r w:rsidR="00432D9D" w:rsidRPr="00312485">
        <w:rPr>
          <w:rFonts w:eastAsia="Calibri"/>
          <w:noProof/>
          <w:sz w:val="24"/>
          <w:szCs w:val="28"/>
          <w:lang w:val="ro-MD"/>
        </w:rPr>
        <w:t>,</w:t>
      </w:r>
      <w:r w:rsidRPr="00312485">
        <w:rPr>
          <w:rFonts w:eastAsia="Calibri"/>
          <w:noProof/>
          <w:sz w:val="24"/>
          <w:szCs w:val="28"/>
          <w:lang w:val="ro-MD"/>
        </w:rPr>
        <w:t xml:space="preserve"> </w:t>
      </w:r>
      <w:r w:rsidRPr="00B33E94">
        <w:rPr>
          <w:rFonts w:eastAsia="Calibri"/>
          <w:i/>
          <w:noProof/>
          <w:sz w:val="24"/>
          <w:szCs w:val="28"/>
          <w:lang w:val="ro-MD"/>
        </w:rPr>
        <w:t>cheltuielile bugetului public național</w:t>
      </w:r>
      <w:r w:rsidRPr="00312485">
        <w:rPr>
          <w:rFonts w:eastAsia="Calibri"/>
          <w:noProof/>
          <w:sz w:val="24"/>
          <w:szCs w:val="28"/>
          <w:lang w:val="ro-MD"/>
        </w:rPr>
        <w:t xml:space="preserve"> se estimează </w:t>
      </w:r>
      <w:r w:rsidR="00432D9D" w:rsidRPr="00312485">
        <w:rPr>
          <w:rFonts w:eastAsia="Calibri"/>
          <w:noProof/>
          <w:sz w:val="24"/>
          <w:szCs w:val="28"/>
          <w:lang w:val="ro-MD"/>
        </w:rPr>
        <w:t>în</w:t>
      </w:r>
      <w:r w:rsidRPr="00312485">
        <w:rPr>
          <w:rFonts w:eastAsia="Calibri"/>
          <w:noProof/>
          <w:sz w:val="24"/>
          <w:szCs w:val="28"/>
          <w:lang w:val="ro-MD"/>
        </w:rPr>
        <w:t xml:space="preserve"> sumă de </w:t>
      </w:r>
      <w:r w:rsidRPr="00312485">
        <w:rPr>
          <w:rFonts w:eastAsia="Calibri"/>
          <w:noProof/>
          <w:sz w:val="24"/>
          <w:szCs w:val="28"/>
          <w:lang w:val="ro-MD"/>
        </w:rPr>
        <w:br/>
        <w:t>142</w:t>
      </w:r>
      <w:r w:rsidR="00432D9D" w:rsidRPr="00312485">
        <w:rPr>
          <w:rFonts w:eastAsia="Calibri"/>
          <w:noProof/>
          <w:sz w:val="24"/>
          <w:szCs w:val="28"/>
          <w:lang w:val="ro-MD"/>
        </w:rPr>
        <w:t xml:space="preserve"> </w:t>
      </w:r>
      <w:r w:rsidRPr="00312485">
        <w:rPr>
          <w:rFonts w:eastAsia="Calibri"/>
          <w:noProof/>
          <w:sz w:val="24"/>
          <w:szCs w:val="28"/>
          <w:lang w:val="ro-MD"/>
        </w:rPr>
        <w:t>158</w:t>
      </w:r>
      <w:r w:rsidR="00432D9D" w:rsidRPr="00312485">
        <w:rPr>
          <w:rFonts w:eastAsia="Calibri"/>
          <w:noProof/>
          <w:sz w:val="24"/>
          <w:szCs w:val="28"/>
          <w:lang w:val="ro-MD"/>
        </w:rPr>
        <w:t>,0</w:t>
      </w:r>
      <w:r w:rsidRPr="00312485">
        <w:rPr>
          <w:rFonts w:eastAsia="Calibri"/>
          <w:noProof/>
          <w:sz w:val="24"/>
          <w:szCs w:val="28"/>
          <w:lang w:val="ro-MD"/>
        </w:rPr>
        <w:t xml:space="preserve"> mil. lei, cu o majorare în valoare nominală de 19</w:t>
      </w:r>
      <w:r w:rsidR="004F0BFF" w:rsidRPr="00312485">
        <w:rPr>
          <w:rFonts w:eastAsia="Calibri"/>
          <w:noProof/>
          <w:sz w:val="24"/>
          <w:szCs w:val="28"/>
          <w:lang w:val="ro-MD"/>
        </w:rPr>
        <w:t xml:space="preserve"> </w:t>
      </w:r>
      <w:r w:rsidRPr="00312485">
        <w:rPr>
          <w:rFonts w:eastAsia="Calibri"/>
          <w:noProof/>
          <w:sz w:val="24"/>
          <w:szCs w:val="28"/>
          <w:lang w:val="ro-MD"/>
        </w:rPr>
        <w:t>196</w:t>
      </w:r>
      <w:r w:rsidR="004F0BFF" w:rsidRPr="00312485">
        <w:rPr>
          <w:rFonts w:eastAsia="Calibri"/>
          <w:noProof/>
          <w:sz w:val="24"/>
          <w:szCs w:val="28"/>
          <w:lang w:val="ro-MD"/>
        </w:rPr>
        <w:t>,0</w:t>
      </w:r>
      <w:r w:rsidRPr="00312485">
        <w:rPr>
          <w:rFonts w:eastAsia="Calibri"/>
          <w:noProof/>
          <w:sz w:val="24"/>
          <w:szCs w:val="28"/>
          <w:lang w:val="ro-MD"/>
        </w:rPr>
        <w:t xml:space="preserve"> mil. lei sau cu 15,6% față de anul 2024. Ponderea cheltuielilor bugetului public național în PIB va constitui 40,5%, cu o majorare de 2,5 p</w:t>
      </w:r>
      <w:r w:rsidR="00E70221" w:rsidRPr="00312485">
        <w:rPr>
          <w:rFonts w:eastAsia="Calibri"/>
          <w:noProof/>
          <w:sz w:val="24"/>
          <w:szCs w:val="28"/>
          <w:lang w:val="ro-MD"/>
        </w:rPr>
        <w:t xml:space="preserve">uncte procentuale </w:t>
      </w:r>
      <w:r w:rsidRPr="00312485">
        <w:rPr>
          <w:rFonts w:eastAsia="Calibri"/>
          <w:noProof/>
          <w:sz w:val="24"/>
          <w:szCs w:val="28"/>
          <w:lang w:val="ro-MD"/>
        </w:rPr>
        <w:t>comparativ cu nivelul înregistrat în anul 2024.</w:t>
      </w:r>
    </w:p>
    <w:p w14:paraId="4A5EFBE7" w14:textId="204A7E4E" w:rsidR="001067DB" w:rsidRPr="00312485" w:rsidRDefault="001067DB" w:rsidP="001067DB">
      <w:pPr>
        <w:tabs>
          <w:tab w:val="left" w:pos="993"/>
        </w:tabs>
        <w:ind w:firstLine="567"/>
        <w:rPr>
          <w:noProof/>
          <w:color w:val="000000" w:themeColor="text1"/>
          <w:sz w:val="24"/>
          <w:szCs w:val="28"/>
          <w:shd w:val="clear" w:color="auto" w:fill="FFFFFF"/>
          <w:lang w:val="ro-MD"/>
        </w:rPr>
      </w:pPr>
      <w:r w:rsidRPr="00312485">
        <w:rPr>
          <w:rFonts w:eastAsia="Calibri"/>
          <w:noProof/>
          <w:sz w:val="24"/>
          <w:szCs w:val="28"/>
          <w:lang w:val="ro-MD"/>
        </w:rPr>
        <w:t xml:space="preserve">Sub aspect economic, ponderea cea mai mare în totalul cheltuielilor, la fel ca în anii precedenți, o reprezintă </w:t>
      </w:r>
      <w:r w:rsidRPr="00B33E94">
        <w:rPr>
          <w:rFonts w:eastAsia="Calibri"/>
          <w:i/>
          <w:noProof/>
          <w:sz w:val="24"/>
          <w:szCs w:val="28"/>
          <w:lang w:val="ro-MD"/>
        </w:rPr>
        <w:t>cheltuielile pentru prestații sociale</w:t>
      </w:r>
      <w:r w:rsidRPr="00312485">
        <w:rPr>
          <w:rFonts w:eastAsia="Calibri"/>
          <w:noProof/>
          <w:sz w:val="24"/>
          <w:szCs w:val="28"/>
          <w:lang w:val="ro-MD"/>
        </w:rPr>
        <w:t>, care vor constitui circa 35,6%, estimându-se la suma de 50 647</w:t>
      </w:r>
      <w:r w:rsidR="00E00BEB" w:rsidRPr="00312485">
        <w:rPr>
          <w:rFonts w:eastAsia="Calibri"/>
          <w:noProof/>
          <w:sz w:val="24"/>
          <w:szCs w:val="28"/>
          <w:lang w:val="ro-MD"/>
        </w:rPr>
        <w:t>,0</w:t>
      </w:r>
      <w:r w:rsidRPr="00312485">
        <w:rPr>
          <w:rFonts w:eastAsia="Calibri"/>
          <w:noProof/>
          <w:sz w:val="24"/>
          <w:szCs w:val="28"/>
          <w:lang w:val="ro-MD"/>
        </w:rPr>
        <w:t xml:space="preserve"> mil. lei (14,4% din PIB), cu o majorare de 5 884</w:t>
      </w:r>
      <w:r w:rsidR="00E00BEB" w:rsidRPr="00312485">
        <w:rPr>
          <w:rFonts w:eastAsia="Calibri"/>
          <w:noProof/>
          <w:sz w:val="24"/>
          <w:szCs w:val="28"/>
          <w:lang w:val="ro-MD"/>
        </w:rPr>
        <w:t>,0</w:t>
      </w:r>
      <w:r w:rsidRPr="00312485">
        <w:rPr>
          <w:rFonts w:eastAsia="Calibri"/>
          <w:noProof/>
          <w:sz w:val="24"/>
          <w:szCs w:val="28"/>
          <w:lang w:val="ro-MD"/>
        </w:rPr>
        <w:t xml:space="preserve"> mil. lei față de anul 2024. Creșterea acestor cheltuieli se atestă în mare parte în rezultatul majorării cuantumului prestațiilor sociale și a numărului de beneficiari, în special a prestațiilor aferente dreptului la pensie pentru limită </w:t>
      </w:r>
      <w:r w:rsidR="00E00BEB" w:rsidRPr="00312485">
        <w:rPr>
          <w:rFonts w:eastAsia="Calibri"/>
          <w:noProof/>
          <w:sz w:val="24"/>
          <w:szCs w:val="28"/>
          <w:lang w:val="ro-MD"/>
        </w:rPr>
        <w:t>de vârstă. De asemenea, majorar</w:t>
      </w:r>
      <w:r w:rsidRPr="00312485">
        <w:rPr>
          <w:rFonts w:eastAsia="Calibri"/>
          <w:noProof/>
          <w:sz w:val="24"/>
          <w:szCs w:val="28"/>
          <w:lang w:val="ro-MD"/>
        </w:rPr>
        <w:t>e</w:t>
      </w:r>
      <w:r w:rsidR="00E00BEB" w:rsidRPr="00312485">
        <w:rPr>
          <w:rFonts w:eastAsia="Calibri"/>
          <w:noProof/>
          <w:sz w:val="24"/>
          <w:szCs w:val="28"/>
          <w:lang w:val="ro-MD"/>
        </w:rPr>
        <w:t>a</w:t>
      </w:r>
      <w:r w:rsidRPr="00312485">
        <w:rPr>
          <w:rFonts w:eastAsia="Calibri"/>
          <w:noProof/>
          <w:sz w:val="24"/>
          <w:szCs w:val="28"/>
          <w:lang w:val="ro-MD"/>
        </w:rPr>
        <w:t xml:space="preserve"> acestor cheltuieli într-un ritm mai accelerat este determinată de majorarea cuantumului plăților monetare consumatorilor vulnerabili de energie, stabilirea compensațiilor în facturi la energia electrică, stabilirea unor plăți unice de susținere a unor categorii de populație.   </w:t>
      </w:r>
    </w:p>
    <w:p w14:paraId="38F29693" w14:textId="67E7D7A9" w:rsidR="001067DB" w:rsidRPr="00312485" w:rsidRDefault="001067DB" w:rsidP="001067DB">
      <w:pPr>
        <w:tabs>
          <w:tab w:val="left" w:pos="993"/>
        </w:tabs>
        <w:ind w:firstLine="567"/>
        <w:rPr>
          <w:rFonts w:eastAsia="Calibri"/>
          <w:noProof/>
          <w:sz w:val="24"/>
          <w:szCs w:val="28"/>
          <w:lang w:val="ro-MD"/>
        </w:rPr>
      </w:pPr>
      <w:r w:rsidRPr="00B33E94">
        <w:rPr>
          <w:rFonts w:eastAsia="Calibri"/>
          <w:i/>
          <w:noProof/>
          <w:sz w:val="24"/>
          <w:szCs w:val="28"/>
          <w:lang w:val="ro-MD"/>
        </w:rPr>
        <w:t>Cheltuielile de personal</w:t>
      </w:r>
      <w:r w:rsidRPr="00312485">
        <w:rPr>
          <w:rFonts w:eastAsia="Calibri"/>
          <w:noProof/>
          <w:sz w:val="24"/>
          <w:szCs w:val="28"/>
          <w:lang w:val="ro-MD"/>
        </w:rPr>
        <w:t xml:space="preserve"> în anul 2025 se estimează în sumă de 30 437</w:t>
      </w:r>
      <w:r w:rsidR="00E00BEB" w:rsidRPr="00312485">
        <w:rPr>
          <w:rFonts w:eastAsia="Calibri"/>
          <w:noProof/>
          <w:sz w:val="24"/>
          <w:szCs w:val="28"/>
          <w:lang w:val="ro-MD"/>
        </w:rPr>
        <w:t>,0</w:t>
      </w:r>
      <w:r w:rsidRPr="00312485">
        <w:rPr>
          <w:rFonts w:eastAsia="Calibri"/>
          <w:noProof/>
          <w:sz w:val="24"/>
          <w:szCs w:val="28"/>
          <w:lang w:val="ro-MD"/>
        </w:rPr>
        <w:t xml:space="preserve"> mil. lei (8,7% din PIB), cu o majorare de 2 714</w:t>
      </w:r>
      <w:r w:rsidR="00E00BEB" w:rsidRPr="00312485">
        <w:rPr>
          <w:rFonts w:eastAsia="Calibri"/>
          <w:noProof/>
          <w:sz w:val="24"/>
          <w:szCs w:val="28"/>
          <w:lang w:val="ro-MD"/>
        </w:rPr>
        <w:t>,0</w:t>
      </w:r>
      <w:r w:rsidRPr="00312485">
        <w:rPr>
          <w:rFonts w:eastAsia="Calibri"/>
          <w:noProof/>
          <w:sz w:val="24"/>
          <w:szCs w:val="28"/>
          <w:lang w:val="ro-MD"/>
        </w:rPr>
        <w:t xml:space="preserve"> mil. lei față de anul 2024 sau cu 9,8 la sută. Majorarea respectivă este determinată de implementarea măsurilor noi de politici salariale în sectorul bugetar în anul 2025.</w:t>
      </w:r>
    </w:p>
    <w:p w14:paraId="4D874E15" w14:textId="57B136B3" w:rsidR="001067DB" w:rsidRPr="00312485" w:rsidRDefault="001067DB" w:rsidP="001067DB">
      <w:pPr>
        <w:tabs>
          <w:tab w:val="left" w:pos="993"/>
        </w:tabs>
        <w:ind w:firstLine="567"/>
        <w:rPr>
          <w:rFonts w:eastAsia="Calibri"/>
          <w:noProof/>
          <w:sz w:val="24"/>
          <w:szCs w:val="28"/>
          <w:lang w:val="ro-MD"/>
        </w:rPr>
      </w:pPr>
      <w:r w:rsidRPr="00B33E94">
        <w:rPr>
          <w:rFonts w:eastAsia="Calibri"/>
          <w:i/>
          <w:noProof/>
          <w:sz w:val="24"/>
          <w:szCs w:val="28"/>
          <w:lang w:val="ro-MD"/>
        </w:rPr>
        <w:t>Cheltuielile aferente dobânzilor</w:t>
      </w:r>
      <w:r w:rsidRPr="00312485">
        <w:rPr>
          <w:rFonts w:eastAsia="Calibri"/>
          <w:noProof/>
          <w:sz w:val="24"/>
          <w:szCs w:val="28"/>
          <w:lang w:val="ro-MD"/>
        </w:rPr>
        <w:t xml:space="preserve"> vor înregistra o majorare comparativ cu anul 2024 și se estimează </w:t>
      </w:r>
      <w:r w:rsidR="00E00BEB" w:rsidRPr="00312485">
        <w:rPr>
          <w:rFonts w:eastAsia="Calibri"/>
          <w:noProof/>
          <w:sz w:val="24"/>
          <w:szCs w:val="28"/>
          <w:lang w:val="ro-MD"/>
        </w:rPr>
        <w:t>în</w:t>
      </w:r>
      <w:r w:rsidRPr="00312485">
        <w:rPr>
          <w:rFonts w:eastAsia="Calibri"/>
          <w:noProof/>
          <w:sz w:val="24"/>
          <w:szCs w:val="28"/>
          <w:lang w:val="ro-MD"/>
        </w:rPr>
        <w:t xml:space="preserve"> sum</w:t>
      </w:r>
      <w:r w:rsidR="00E00BEB" w:rsidRPr="00312485">
        <w:rPr>
          <w:rFonts w:eastAsia="Calibri"/>
          <w:noProof/>
          <w:sz w:val="24"/>
          <w:szCs w:val="28"/>
          <w:lang w:val="ro-MD"/>
        </w:rPr>
        <w:t>ă</w:t>
      </w:r>
      <w:r w:rsidRPr="00312485">
        <w:rPr>
          <w:rFonts w:eastAsia="Calibri"/>
          <w:noProof/>
          <w:sz w:val="24"/>
          <w:szCs w:val="28"/>
          <w:lang w:val="ro-MD"/>
        </w:rPr>
        <w:t xml:space="preserve"> de 4 878</w:t>
      </w:r>
      <w:r w:rsidR="00E00BEB" w:rsidRPr="00312485">
        <w:rPr>
          <w:rFonts w:eastAsia="Calibri"/>
          <w:noProof/>
          <w:sz w:val="24"/>
          <w:szCs w:val="28"/>
          <w:lang w:val="ro-MD"/>
        </w:rPr>
        <w:t>,0</w:t>
      </w:r>
      <w:r w:rsidRPr="00312485">
        <w:rPr>
          <w:rFonts w:eastAsia="Calibri"/>
          <w:noProof/>
          <w:sz w:val="24"/>
          <w:szCs w:val="28"/>
          <w:lang w:val="ro-MD"/>
        </w:rPr>
        <w:t xml:space="preserve"> mil. lei (1,4% din PIB), cu o majorare de 431 mil. lei. Majorarea respectivă se atestă în mare parte urmare a majorării cheltuielilor pentru serviciul datoriei de stat externe, cauzată de contractarea noilor împrumuturi/debursarea tranșelor în cadrul împrumuturilor existente.</w:t>
      </w:r>
    </w:p>
    <w:p w14:paraId="5ACB5CCF" w14:textId="1CD0336C" w:rsidR="001067DB" w:rsidRPr="00312485" w:rsidRDefault="001067DB" w:rsidP="001067DB">
      <w:pPr>
        <w:tabs>
          <w:tab w:val="left" w:pos="993"/>
        </w:tabs>
        <w:ind w:firstLine="567"/>
        <w:rPr>
          <w:rFonts w:eastAsia="Calibri"/>
          <w:noProof/>
          <w:color w:val="FF0000"/>
          <w:sz w:val="24"/>
          <w:szCs w:val="28"/>
          <w:lang w:val="ro-MD"/>
        </w:rPr>
      </w:pPr>
      <w:r w:rsidRPr="00B33E94">
        <w:rPr>
          <w:rFonts w:eastAsia="Calibri"/>
          <w:i/>
          <w:noProof/>
          <w:sz w:val="24"/>
          <w:szCs w:val="28"/>
          <w:lang w:val="ro-MD"/>
        </w:rPr>
        <w:t>Cheltuielile capitale</w:t>
      </w:r>
      <w:r w:rsidRPr="00312485">
        <w:rPr>
          <w:rFonts w:eastAsia="Calibri"/>
          <w:noProof/>
          <w:sz w:val="24"/>
          <w:szCs w:val="28"/>
          <w:lang w:val="ro-MD"/>
        </w:rPr>
        <w:t xml:space="preserve"> în anul 2025 se estimează la suma de 13 297</w:t>
      </w:r>
      <w:r w:rsidR="00E00BEB" w:rsidRPr="00312485">
        <w:rPr>
          <w:rFonts w:eastAsia="Calibri"/>
          <w:noProof/>
          <w:sz w:val="24"/>
          <w:szCs w:val="28"/>
          <w:lang w:val="ro-MD"/>
        </w:rPr>
        <w:t>,0</w:t>
      </w:r>
      <w:r w:rsidRPr="00312485">
        <w:rPr>
          <w:rFonts w:eastAsia="Calibri"/>
          <w:noProof/>
          <w:sz w:val="24"/>
          <w:szCs w:val="28"/>
          <w:lang w:val="ro-MD"/>
        </w:rPr>
        <w:t xml:space="preserve"> mil. lei, fiind în creștere față de anul 2024 cu 2 898</w:t>
      </w:r>
      <w:r w:rsidR="00E00BEB" w:rsidRPr="00312485">
        <w:rPr>
          <w:rFonts w:eastAsia="Calibri"/>
          <w:noProof/>
          <w:sz w:val="24"/>
          <w:szCs w:val="28"/>
          <w:lang w:val="ro-MD"/>
        </w:rPr>
        <w:t>,0</w:t>
      </w:r>
      <w:r w:rsidRPr="00312485">
        <w:rPr>
          <w:rFonts w:eastAsia="Calibri"/>
          <w:noProof/>
          <w:sz w:val="24"/>
          <w:szCs w:val="28"/>
          <w:lang w:val="ro-MD"/>
        </w:rPr>
        <w:t xml:space="preserve"> mil. lei.</w:t>
      </w:r>
    </w:p>
    <w:p w14:paraId="182B9AC9" w14:textId="77777777" w:rsidR="00CD23F6" w:rsidRPr="00312485" w:rsidRDefault="00CD23F6" w:rsidP="001067DB">
      <w:pPr>
        <w:tabs>
          <w:tab w:val="left" w:pos="993"/>
        </w:tabs>
        <w:rPr>
          <w:rFonts w:eastAsia="Calibri"/>
          <w:b/>
          <w:noProof/>
          <w:sz w:val="24"/>
          <w:szCs w:val="28"/>
          <w:lang w:val="ro-MD"/>
        </w:rPr>
      </w:pPr>
    </w:p>
    <w:p w14:paraId="4A573788" w14:textId="4E183B04" w:rsidR="001067DB" w:rsidRPr="00312485" w:rsidRDefault="001067DB" w:rsidP="001067DB">
      <w:pPr>
        <w:tabs>
          <w:tab w:val="left" w:pos="993"/>
        </w:tabs>
        <w:rPr>
          <w:rFonts w:eastAsia="Calibri"/>
          <w:b/>
          <w:noProof/>
          <w:sz w:val="24"/>
          <w:szCs w:val="28"/>
          <w:lang w:val="ro-MD"/>
        </w:rPr>
      </w:pPr>
      <w:r w:rsidRPr="00312485">
        <w:rPr>
          <w:rFonts w:eastAsia="Calibri"/>
          <w:b/>
          <w:noProof/>
          <w:sz w:val="24"/>
          <w:szCs w:val="28"/>
          <w:lang w:val="ro-MD"/>
        </w:rPr>
        <w:t>Prognoza cheltuielilor pentru perioada 2026-2028</w:t>
      </w:r>
    </w:p>
    <w:p w14:paraId="0EFA2803" w14:textId="1C38968F" w:rsidR="001067DB" w:rsidRPr="00312485" w:rsidRDefault="001067DB" w:rsidP="001067DB">
      <w:pPr>
        <w:tabs>
          <w:tab w:val="left" w:pos="993"/>
        </w:tabs>
        <w:rPr>
          <w:rFonts w:eastAsia="Calibri"/>
          <w:noProof/>
          <w:sz w:val="24"/>
          <w:szCs w:val="28"/>
          <w:lang w:val="ro-MD"/>
        </w:rPr>
      </w:pPr>
      <w:r w:rsidRPr="00312485">
        <w:rPr>
          <w:rFonts w:eastAsia="Calibri"/>
          <w:noProof/>
          <w:sz w:val="24"/>
          <w:szCs w:val="28"/>
          <w:lang w:val="ro-MD"/>
        </w:rPr>
        <w:t xml:space="preserve">În perioada 2026-2028 se preconizează o creștere oscilantă a cheltuielilor publice totale de la 14,3% în anul 2026 față de cheltuielile anului 2025 aprobate inițial până la 5,5% în anul 2028 față de anul 2027. </w:t>
      </w:r>
    </w:p>
    <w:p w14:paraId="2DDDB922" w14:textId="7CD0B7AA" w:rsidR="001067DB" w:rsidRPr="00312485" w:rsidRDefault="001067DB" w:rsidP="001067DB">
      <w:pPr>
        <w:tabs>
          <w:tab w:val="left" w:pos="993"/>
        </w:tabs>
        <w:rPr>
          <w:rFonts w:eastAsia="Calibri"/>
          <w:noProof/>
          <w:sz w:val="24"/>
          <w:szCs w:val="28"/>
          <w:lang w:val="ro-MD"/>
        </w:rPr>
      </w:pPr>
      <w:r w:rsidRPr="00312485">
        <w:rPr>
          <w:rFonts w:eastAsia="Calibri"/>
          <w:noProof/>
          <w:sz w:val="24"/>
          <w:szCs w:val="28"/>
          <w:lang w:val="ro-MD"/>
        </w:rPr>
        <w:lastRenderedPageBreak/>
        <w:t xml:space="preserve">Raportate la PIB, cheltuielile publice vor avea o pondere de 40,1% în anul 2026, 40,2% în anul 2027 și 39,6% în anul 2028, comparativ cu același indicator de 38,3% prevăzut inițial pentru anul 2025. </w:t>
      </w:r>
    </w:p>
    <w:p w14:paraId="03274D36" w14:textId="77777777" w:rsidR="0028282B" w:rsidRDefault="0028282B" w:rsidP="00051BEE">
      <w:pPr>
        <w:autoSpaceDE w:val="0"/>
        <w:autoSpaceDN w:val="0"/>
        <w:adjustRightInd w:val="0"/>
        <w:rPr>
          <w:b/>
          <w:bCs/>
          <w:i/>
          <w:sz w:val="24"/>
          <w:szCs w:val="24"/>
          <w:lang w:val="ro-MD"/>
        </w:rPr>
      </w:pPr>
    </w:p>
    <w:p w14:paraId="30CC6795" w14:textId="0D7CADE1" w:rsidR="00D17564" w:rsidRPr="00312485" w:rsidRDefault="00D17564" w:rsidP="00051BEE">
      <w:pPr>
        <w:autoSpaceDE w:val="0"/>
        <w:autoSpaceDN w:val="0"/>
        <w:adjustRightInd w:val="0"/>
        <w:rPr>
          <w:b/>
          <w:bCs/>
          <w:i/>
          <w:sz w:val="24"/>
          <w:szCs w:val="24"/>
          <w:lang w:val="ro-MD"/>
        </w:rPr>
      </w:pPr>
      <w:r w:rsidRPr="00312485">
        <w:rPr>
          <w:b/>
          <w:bCs/>
          <w:i/>
          <w:sz w:val="24"/>
          <w:szCs w:val="24"/>
          <w:lang w:val="ro-MD"/>
        </w:rPr>
        <w:t>Cheltuieli de personal</w:t>
      </w:r>
      <w:r w:rsidRPr="00312485">
        <w:rPr>
          <w:b/>
          <w:bCs/>
          <w:i/>
          <w:sz w:val="24"/>
          <w:szCs w:val="24"/>
          <w:lang w:val="ro-MD"/>
        </w:rPr>
        <w:tab/>
      </w:r>
    </w:p>
    <w:p w14:paraId="63BDBB7D" w14:textId="77777777" w:rsidR="00681CA9" w:rsidRPr="00312485" w:rsidRDefault="00681CA9" w:rsidP="00681CA9">
      <w:pPr>
        <w:tabs>
          <w:tab w:val="left" w:pos="993"/>
        </w:tabs>
        <w:rPr>
          <w:sz w:val="24"/>
          <w:szCs w:val="24"/>
          <w:lang w:val="ro-MD"/>
        </w:rPr>
      </w:pPr>
      <w:r w:rsidRPr="00312485">
        <w:rPr>
          <w:i/>
          <w:sz w:val="24"/>
          <w:szCs w:val="24"/>
          <w:lang w:val="ro-MD"/>
        </w:rPr>
        <w:t>Tendințe recente</w:t>
      </w:r>
      <w:r w:rsidRPr="00312485">
        <w:rPr>
          <w:sz w:val="24"/>
          <w:szCs w:val="24"/>
          <w:lang w:val="ro-MD"/>
        </w:rPr>
        <w:t xml:space="preserve"> </w:t>
      </w:r>
    </w:p>
    <w:p w14:paraId="00CE9D48" w14:textId="77777777" w:rsidR="00681CA9" w:rsidRPr="00312485" w:rsidRDefault="00681CA9" w:rsidP="00681CA9">
      <w:pPr>
        <w:tabs>
          <w:tab w:val="left" w:pos="993"/>
        </w:tabs>
        <w:rPr>
          <w:noProof/>
          <w:sz w:val="24"/>
          <w:szCs w:val="24"/>
          <w:lang w:val="ro-MD"/>
        </w:rPr>
      </w:pPr>
      <w:r w:rsidRPr="00312485">
        <w:rPr>
          <w:noProof/>
          <w:sz w:val="24"/>
          <w:szCs w:val="24"/>
          <w:lang w:val="ro-MD"/>
        </w:rPr>
        <w:t>Politica salarială pe termen mediu are ca obiectiv fortificarea cadrului legislativ și normativ, în vederea perfecționării și eficientizării sistemului unitar de salarizare. Scopul principal este asigurarea unei creșteri sustenabile și continue a salariilor angajaților din sectorul bugetar, corelată cu ritmul de creștere a productivității muncii și cu dezvoltarea potențialului profesional al personalului.</w:t>
      </w:r>
    </w:p>
    <w:p w14:paraId="117471BB" w14:textId="13C4DB31" w:rsidR="00681CA9" w:rsidRPr="00312485" w:rsidRDefault="005829A9" w:rsidP="00681CA9">
      <w:pPr>
        <w:tabs>
          <w:tab w:val="left" w:pos="993"/>
        </w:tabs>
        <w:rPr>
          <w:sz w:val="24"/>
          <w:szCs w:val="24"/>
          <w:lang w:val="ro-MD"/>
        </w:rPr>
      </w:pPr>
      <w:r w:rsidRPr="00312485">
        <w:rPr>
          <w:sz w:val="24"/>
          <w:szCs w:val="24"/>
          <w:lang w:val="ro-MD"/>
        </w:rPr>
        <w:t>Î</w:t>
      </w:r>
      <w:r w:rsidR="00681CA9" w:rsidRPr="00312485">
        <w:rPr>
          <w:sz w:val="24"/>
          <w:szCs w:val="24"/>
          <w:lang w:val="ro-MD"/>
        </w:rPr>
        <w:t xml:space="preserve">n perioada 2024-2025 au fost implementate majorări salariale în conformitate cu angajamentele Guvernului, prin implementarea prevederilor Legii nr. 270/2018 privind sistemul unitar de salarizare în sectorul bugetar, precum și a cadrului normativ aferent. </w:t>
      </w:r>
    </w:p>
    <w:p w14:paraId="7B612832" w14:textId="428E2F6A" w:rsidR="00D17564" w:rsidRPr="00312485" w:rsidRDefault="00D17564" w:rsidP="00D16C75">
      <w:pPr>
        <w:tabs>
          <w:tab w:val="left" w:pos="993"/>
        </w:tabs>
        <w:rPr>
          <w:noProof/>
          <w:sz w:val="24"/>
          <w:szCs w:val="24"/>
          <w:lang w:val="ro-MD"/>
        </w:rPr>
      </w:pPr>
    </w:p>
    <w:p w14:paraId="59501341" w14:textId="39B7CD33" w:rsidR="00D17564" w:rsidRPr="00312485" w:rsidRDefault="00061D61" w:rsidP="00061D61">
      <w:pPr>
        <w:tabs>
          <w:tab w:val="left" w:pos="993"/>
        </w:tabs>
        <w:ind w:firstLine="0"/>
        <w:rPr>
          <w:i/>
          <w:sz w:val="24"/>
          <w:szCs w:val="24"/>
          <w:lang w:val="ro-MD"/>
        </w:rPr>
      </w:pPr>
      <w:r w:rsidRPr="00312485">
        <w:rPr>
          <w:i/>
          <w:sz w:val="24"/>
          <w:szCs w:val="24"/>
          <w:lang w:val="ro-MD"/>
        </w:rPr>
        <w:t xml:space="preserve">            </w:t>
      </w:r>
      <w:r w:rsidR="00D17564" w:rsidRPr="00312485">
        <w:rPr>
          <w:i/>
          <w:sz w:val="24"/>
          <w:szCs w:val="24"/>
          <w:lang w:val="ro-MD"/>
        </w:rPr>
        <w:t xml:space="preserve">Provocări actuale </w:t>
      </w:r>
    </w:p>
    <w:p w14:paraId="6FFF7FA6" w14:textId="65B82D56" w:rsidR="00D17564" w:rsidRPr="00312485" w:rsidRDefault="00D17564" w:rsidP="00061D61">
      <w:pPr>
        <w:rPr>
          <w:noProof/>
          <w:sz w:val="24"/>
          <w:szCs w:val="24"/>
          <w:lang w:val="ro-MD"/>
        </w:rPr>
      </w:pPr>
      <w:r w:rsidRPr="00312485">
        <w:rPr>
          <w:sz w:val="24"/>
          <w:szCs w:val="24"/>
          <w:lang w:val="ro-MD"/>
        </w:rPr>
        <w:t xml:space="preserve">Sistemul actual de salarizare reprezintă rezultatul modificărilor operate atât la etapa de adoptare a cadrului normativ aferent, cât și ulterior, pe parcursul implementării acestuia. Intervențiile menționate au avut un impact direct asupra naturii sistemului, precum și a ierarhiei funcțiilor. </w:t>
      </w:r>
      <w:r w:rsidR="00D16C75" w:rsidRPr="00312485">
        <w:rPr>
          <w:sz w:val="24"/>
          <w:szCs w:val="24"/>
          <w:lang w:val="ro-MD"/>
        </w:rPr>
        <w:t>Adițional</w:t>
      </w:r>
      <w:r w:rsidRPr="00312485">
        <w:rPr>
          <w:sz w:val="24"/>
          <w:szCs w:val="24"/>
          <w:lang w:val="ro-MD"/>
        </w:rPr>
        <w:t xml:space="preserve">, printre provocările sistemul actual de salarizare ce necesită a fi soluționate sunt cele referitoare la echitate </w:t>
      </w:r>
      <w:proofErr w:type="spellStart"/>
      <w:r w:rsidRPr="00312485">
        <w:rPr>
          <w:sz w:val="24"/>
          <w:szCs w:val="24"/>
          <w:lang w:val="ro-MD"/>
        </w:rPr>
        <w:t>şi</w:t>
      </w:r>
      <w:proofErr w:type="spellEnd"/>
      <w:r w:rsidRPr="00312485">
        <w:rPr>
          <w:sz w:val="24"/>
          <w:szCs w:val="24"/>
          <w:lang w:val="ro-MD"/>
        </w:rPr>
        <w:t xml:space="preserve"> competitivitate, acestea având un impact social accentuat. Soluționarea constrângerilor menționate va îmbunătăți inclusiv gradul de atragere </w:t>
      </w:r>
      <w:proofErr w:type="spellStart"/>
      <w:r w:rsidRPr="00312485">
        <w:rPr>
          <w:sz w:val="24"/>
          <w:szCs w:val="24"/>
          <w:lang w:val="ro-MD"/>
        </w:rPr>
        <w:t>şi</w:t>
      </w:r>
      <w:proofErr w:type="spellEnd"/>
      <w:r w:rsidRPr="00312485">
        <w:rPr>
          <w:sz w:val="24"/>
          <w:szCs w:val="24"/>
          <w:lang w:val="ro-MD"/>
        </w:rPr>
        <w:t xml:space="preserve"> </w:t>
      </w:r>
      <w:r w:rsidR="00D16C75" w:rsidRPr="00312485">
        <w:rPr>
          <w:sz w:val="24"/>
          <w:szCs w:val="24"/>
          <w:lang w:val="ro-MD"/>
        </w:rPr>
        <w:t>menținere</w:t>
      </w:r>
      <w:r w:rsidRPr="00312485">
        <w:rPr>
          <w:sz w:val="24"/>
          <w:szCs w:val="24"/>
          <w:lang w:val="ro-MD"/>
        </w:rPr>
        <w:t xml:space="preserve"> a personalului din sistemul bugetar</w:t>
      </w:r>
      <w:r w:rsidRPr="00312485">
        <w:rPr>
          <w:noProof/>
          <w:sz w:val="24"/>
          <w:szCs w:val="24"/>
          <w:lang w:val="ro-MD"/>
        </w:rPr>
        <w:t>, prin încurajarea performanței profesionale, creșterea atractivității și competitivității sistemului salarial.</w:t>
      </w:r>
    </w:p>
    <w:p w14:paraId="66BD185A" w14:textId="5ADD3E2B" w:rsidR="00D17564" w:rsidRPr="00312485" w:rsidRDefault="00D17564" w:rsidP="00061D61">
      <w:pPr>
        <w:rPr>
          <w:sz w:val="24"/>
          <w:szCs w:val="24"/>
          <w:lang w:val="ro-MD"/>
        </w:rPr>
      </w:pPr>
      <w:r w:rsidRPr="00312485">
        <w:rPr>
          <w:sz w:val="24"/>
          <w:szCs w:val="24"/>
          <w:lang w:val="ro-MD"/>
        </w:rPr>
        <w:t>Astfel, apare necesitatea de revizuire și ajustare a sistemului unitar de salarizare din sectorul bugetar, încât să corespundă principilor sale de bază și anume</w:t>
      </w:r>
      <w:r w:rsidRPr="00312485">
        <w:rPr>
          <w:i/>
          <w:iCs/>
          <w:sz w:val="24"/>
          <w:szCs w:val="24"/>
          <w:lang w:val="ro-MD"/>
        </w:rPr>
        <w:t xml:space="preserve"> echitate, </w:t>
      </w:r>
      <w:r w:rsidR="00D16C75" w:rsidRPr="00312485">
        <w:rPr>
          <w:i/>
          <w:iCs/>
          <w:sz w:val="24"/>
          <w:szCs w:val="24"/>
          <w:lang w:val="ro-MD"/>
        </w:rPr>
        <w:t>coerență</w:t>
      </w:r>
      <w:r w:rsidRPr="00312485">
        <w:rPr>
          <w:sz w:val="24"/>
          <w:szCs w:val="24"/>
          <w:lang w:val="ro-MD"/>
        </w:rPr>
        <w:t xml:space="preserve"> și </w:t>
      </w:r>
      <w:r w:rsidRPr="00312485">
        <w:rPr>
          <w:i/>
          <w:sz w:val="24"/>
          <w:szCs w:val="24"/>
          <w:lang w:val="ro-MD"/>
        </w:rPr>
        <w:t>atractivitate</w:t>
      </w:r>
      <w:r w:rsidRPr="00312485">
        <w:rPr>
          <w:sz w:val="24"/>
          <w:szCs w:val="24"/>
          <w:lang w:val="ro-MD"/>
        </w:rPr>
        <w:t xml:space="preserve">, în sensul asigurării tratamentului egal </w:t>
      </w:r>
      <w:proofErr w:type="spellStart"/>
      <w:r w:rsidRPr="00312485">
        <w:rPr>
          <w:sz w:val="24"/>
          <w:szCs w:val="24"/>
          <w:lang w:val="ro-MD"/>
        </w:rPr>
        <w:t>şi</w:t>
      </w:r>
      <w:proofErr w:type="spellEnd"/>
      <w:r w:rsidRPr="00312485">
        <w:rPr>
          <w:sz w:val="24"/>
          <w:szCs w:val="24"/>
          <w:lang w:val="ro-MD"/>
        </w:rPr>
        <w:t xml:space="preserve"> a remunerării egale pentru muncă de valoare egală, în strânsă corelare cu sustenabilitate financiară a bugetului public național. </w:t>
      </w:r>
    </w:p>
    <w:p w14:paraId="4E0D7A0D" w14:textId="77777777" w:rsidR="00977E67" w:rsidRPr="00312485" w:rsidRDefault="00977E67" w:rsidP="00061D61">
      <w:pPr>
        <w:rPr>
          <w:sz w:val="24"/>
          <w:szCs w:val="24"/>
          <w:lang w:val="ro-MD"/>
        </w:rPr>
      </w:pPr>
    </w:p>
    <w:p w14:paraId="7F5C16D9" w14:textId="3CA57630" w:rsidR="00D17564" w:rsidRPr="00312485" w:rsidRDefault="00061D61" w:rsidP="00D17564">
      <w:pPr>
        <w:ind w:firstLine="567"/>
        <w:rPr>
          <w:i/>
          <w:sz w:val="24"/>
          <w:szCs w:val="24"/>
          <w:lang w:val="ro-MD"/>
        </w:rPr>
      </w:pPr>
      <w:r w:rsidRPr="00312485">
        <w:rPr>
          <w:i/>
          <w:sz w:val="24"/>
          <w:szCs w:val="24"/>
          <w:lang w:val="ro-MD"/>
        </w:rPr>
        <w:t xml:space="preserve">  </w:t>
      </w:r>
      <w:r w:rsidR="00D17564" w:rsidRPr="00312485">
        <w:rPr>
          <w:i/>
          <w:sz w:val="24"/>
          <w:szCs w:val="24"/>
          <w:lang w:val="ro-MD"/>
        </w:rPr>
        <w:t>Obiective pe termen mediu</w:t>
      </w:r>
    </w:p>
    <w:p w14:paraId="0AE58117" w14:textId="740BB8D2" w:rsidR="00D17564" w:rsidRPr="00312485" w:rsidRDefault="00D17564" w:rsidP="00061D61">
      <w:pPr>
        <w:rPr>
          <w:sz w:val="24"/>
          <w:szCs w:val="24"/>
          <w:lang w:val="ro-MD"/>
        </w:rPr>
      </w:pPr>
      <w:r w:rsidRPr="00312485">
        <w:rPr>
          <w:sz w:val="24"/>
          <w:szCs w:val="24"/>
          <w:lang w:val="ro-MD"/>
        </w:rPr>
        <w:t xml:space="preserve">În conformitate cu angajamentele asumate de Republica Moldova, inclusiv în baza documentelor de planificare strategică, a Agendei de reforme aferente Planului de </w:t>
      </w:r>
      <w:r w:rsidR="001D2C3A" w:rsidRPr="00312485">
        <w:rPr>
          <w:sz w:val="24"/>
          <w:szCs w:val="24"/>
          <w:lang w:val="ro-MD"/>
        </w:rPr>
        <w:t>creștere</w:t>
      </w:r>
      <w:r w:rsidRPr="00312485">
        <w:rPr>
          <w:sz w:val="24"/>
          <w:szCs w:val="24"/>
          <w:lang w:val="ro-MD"/>
        </w:rPr>
        <w:t xml:space="preserve"> al Republicii Moldova pentru anii 2025-2027, în scopul consolidării transparenței, echității și competitivității sistemului unitar de salarizare, a fost inițiat un proces comprehensiv de reformă salarială în sectorul bugetar, realizată în baza unei misiuni de asistență tehnică asigurată de către partenerii de dezvoltare ai Republicii Moldova. Analiza cuprinde întregul sistem de salarizare, cu o perspectivă pe termen mediu, pentru a răspunde nevoilor critice de personal, care va asigura un nivel adecvat de remunerare, motivare și performanță.</w:t>
      </w:r>
    </w:p>
    <w:p w14:paraId="21960562" w14:textId="14A2C93E" w:rsidR="00D17564" w:rsidRDefault="00D17564" w:rsidP="00061D61">
      <w:pPr>
        <w:rPr>
          <w:noProof/>
          <w:sz w:val="24"/>
          <w:szCs w:val="24"/>
          <w:lang w:val="ro-MD"/>
        </w:rPr>
      </w:pPr>
      <w:r w:rsidRPr="00312485">
        <w:rPr>
          <w:noProof/>
          <w:sz w:val="24"/>
          <w:szCs w:val="24"/>
          <w:lang w:val="ro-MD"/>
        </w:rPr>
        <w:t xml:space="preserve">Obiectivul general al revizuirii sistemului de salarizare din sectorul bugetar vizează asigurarea unei politici de salarizare echitabile și sustenabile prin eliminarea discrepanțelor salariale existente în prezent, restabilirea ierarhiilor funcțiilor în cadrul domeniilor de activitate, precum și între domenii de activitate, revizuirea sistemului de acordare a sporurilor și suplimentelor precum și instituirea unui sistem mai atractiv de stimulare a performanței. </w:t>
      </w:r>
    </w:p>
    <w:p w14:paraId="135932A8" w14:textId="77777777" w:rsidR="00D17564" w:rsidRPr="00312485" w:rsidRDefault="00D17564" w:rsidP="00061D61">
      <w:pPr>
        <w:pStyle w:val="Text1"/>
        <w:spacing w:before="0" w:after="0"/>
        <w:ind w:left="0" w:firstLine="709"/>
        <w:rPr>
          <w:rFonts w:eastAsia="Yu Gothic Light"/>
          <w:bCs/>
          <w:i/>
          <w:iCs/>
          <w:sz w:val="24"/>
          <w:szCs w:val="24"/>
          <w:lang w:val="ro-MD"/>
        </w:rPr>
      </w:pPr>
      <w:r w:rsidRPr="00312485">
        <w:rPr>
          <w:rFonts w:eastAsia="Yu Gothic Light"/>
          <w:bCs/>
          <w:i/>
          <w:iCs/>
          <w:sz w:val="24"/>
          <w:szCs w:val="24"/>
          <w:lang w:val="ro-MD"/>
        </w:rPr>
        <w:t>În scopul dezvoltării și implementării unui sistem unitar de salarizare echitabil și atractiv, pe termen mediu urmează a fi realizate următoarelor obiective de reformă salarială:</w:t>
      </w:r>
    </w:p>
    <w:p w14:paraId="5FF91765" w14:textId="3871048B" w:rsidR="00D17564" w:rsidRPr="00312485" w:rsidRDefault="00061D61" w:rsidP="00061D61">
      <w:pPr>
        <w:numPr>
          <w:ilvl w:val="0"/>
          <w:numId w:val="4"/>
        </w:numPr>
        <w:ind w:left="0" w:firstLine="491"/>
        <w:rPr>
          <w:sz w:val="24"/>
          <w:szCs w:val="24"/>
          <w:lang w:val="ro-MD"/>
        </w:rPr>
      </w:pPr>
      <w:r w:rsidRPr="00312485">
        <w:rPr>
          <w:sz w:val="24"/>
          <w:szCs w:val="24"/>
          <w:lang w:val="ro-MD"/>
        </w:rPr>
        <w:t>c</w:t>
      </w:r>
      <w:r w:rsidR="00D17564" w:rsidRPr="00312485">
        <w:rPr>
          <w:sz w:val="24"/>
          <w:szCs w:val="24"/>
          <w:lang w:val="ro-MD"/>
        </w:rPr>
        <w:t>onsolidarea și unificarea valorilor de referință aplicabile la calcularea salariilor personalului din sectorul bugetar;</w:t>
      </w:r>
    </w:p>
    <w:p w14:paraId="720358A7" w14:textId="7AA29101" w:rsidR="00D17564" w:rsidRPr="00312485" w:rsidRDefault="00061D61" w:rsidP="00061D61">
      <w:pPr>
        <w:numPr>
          <w:ilvl w:val="0"/>
          <w:numId w:val="4"/>
        </w:numPr>
        <w:ind w:left="0" w:firstLine="491"/>
        <w:rPr>
          <w:sz w:val="24"/>
          <w:szCs w:val="24"/>
          <w:lang w:val="ro-MD"/>
        </w:rPr>
      </w:pPr>
      <w:r w:rsidRPr="00312485">
        <w:rPr>
          <w:sz w:val="24"/>
          <w:szCs w:val="24"/>
          <w:lang w:val="ro-MD"/>
        </w:rPr>
        <w:t>c</w:t>
      </w:r>
      <w:r w:rsidR="00D17564" w:rsidRPr="00312485">
        <w:rPr>
          <w:sz w:val="24"/>
          <w:szCs w:val="24"/>
          <w:lang w:val="ro-MD"/>
        </w:rPr>
        <w:t>onsolidarea componentelor părții fixe a salariului lunar al personalului bugetar;</w:t>
      </w:r>
    </w:p>
    <w:p w14:paraId="056CEC24" w14:textId="5DCDA1A9" w:rsidR="00D17564" w:rsidRPr="00312485" w:rsidRDefault="00061D61" w:rsidP="00061D61">
      <w:pPr>
        <w:numPr>
          <w:ilvl w:val="0"/>
          <w:numId w:val="4"/>
        </w:numPr>
        <w:ind w:left="0" w:firstLine="491"/>
        <w:rPr>
          <w:sz w:val="24"/>
          <w:szCs w:val="24"/>
          <w:lang w:val="ro-MD"/>
        </w:rPr>
      </w:pPr>
      <w:r w:rsidRPr="00312485">
        <w:rPr>
          <w:sz w:val="24"/>
          <w:szCs w:val="24"/>
          <w:lang w:val="ro-MD"/>
        </w:rPr>
        <w:t>r</w:t>
      </w:r>
      <w:r w:rsidR="00D17564" w:rsidRPr="00312485">
        <w:rPr>
          <w:sz w:val="24"/>
          <w:szCs w:val="24"/>
          <w:lang w:val="ro-MD"/>
        </w:rPr>
        <w:t>eierarhizarea posturilor în cadrul sistemului unitar de salarizare, prin adoptarea unei noi grile de salarizare bazate pe rezultatele evaluării funcțiilor;</w:t>
      </w:r>
    </w:p>
    <w:p w14:paraId="3EABE317" w14:textId="55860463" w:rsidR="00D17564" w:rsidRPr="00312485" w:rsidRDefault="00061D61" w:rsidP="00061D61">
      <w:pPr>
        <w:numPr>
          <w:ilvl w:val="0"/>
          <w:numId w:val="4"/>
        </w:numPr>
        <w:ind w:left="0" w:firstLine="491"/>
        <w:rPr>
          <w:sz w:val="24"/>
          <w:szCs w:val="24"/>
          <w:lang w:val="ro-MD"/>
        </w:rPr>
      </w:pPr>
      <w:r w:rsidRPr="00312485">
        <w:rPr>
          <w:sz w:val="24"/>
          <w:szCs w:val="24"/>
          <w:lang w:val="ro-MD"/>
        </w:rPr>
        <w:lastRenderedPageBreak/>
        <w:t>a</w:t>
      </w:r>
      <w:r w:rsidR="00D17564" w:rsidRPr="00312485">
        <w:rPr>
          <w:sz w:val="24"/>
          <w:szCs w:val="24"/>
          <w:lang w:val="ro-MD"/>
        </w:rPr>
        <w:t xml:space="preserve">doptarea unui set clar de criterii pentru viitoarele creșteri salariale cu repere și calendare specifice, inclusiv definirea unor condiții clare pentru acordarea sporurilor și suplimentelor salariale, în condiția menținerii echilibrului dintre partea fixă și cea variabilă; </w:t>
      </w:r>
    </w:p>
    <w:p w14:paraId="6333C42B" w14:textId="4251FA77" w:rsidR="00D17564" w:rsidRPr="00312485" w:rsidRDefault="00061D61" w:rsidP="00061D61">
      <w:pPr>
        <w:numPr>
          <w:ilvl w:val="0"/>
          <w:numId w:val="4"/>
        </w:numPr>
        <w:ind w:left="0" w:firstLine="491"/>
        <w:rPr>
          <w:sz w:val="24"/>
          <w:szCs w:val="24"/>
          <w:lang w:val="ro-MD"/>
        </w:rPr>
      </w:pPr>
      <w:r w:rsidRPr="00312485">
        <w:rPr>
          <w:sz w:val="24"/>
          <w:szCs w:val="24"/>
          <w:lang w:val="ro-MD"/>
        </w:rPr>
        <w:t>r</w:t>
      </w:r>
      <w:r w:rsidR="00D17564" w:rsidRPr="00312485">
        <w:rPr>
          <w:sz w:val="24"/>
          <w:szCs w:val="24"/>
          <w:lang w:val="ro-MD"/>
        </w:rPr>
        <w:t>evizuirea cadrului normativ primar și secundar aferent sistemului unitar de salarizare din sectorul bugetar;</w:t>
      </w:r>
    </w:p>
    <w:p w14:paraId="53F98527" w14:textId="5322943C" w:rsidR="00D17564" w:rsidRPr="00312485" w:rsidRDefault="00061D61" w:rsidP="00061D61">
      <w:pPr>
        <w:numPr>
          <w:ilvl w:val="0"/>
          <w:numId w:val="4"/>
        </w:numPr>
        <w:ind w:left="0" w:firstLine="491"/>
        <w:rPr>
          <w:sz w:val="24"/>
          <w:szCs w:val="24"/>
          <w:lang w:val="ro-MD"/>
        </w:rPr>
      </w:pPr>
      <w:r w:rsidRPr="00312485">
        <w:rPr>
          <w:sz w:val="24"/>
          <w:szCs w:val="24"/>
          <w:lang w:val="ro-MD"/>
        </w:rPr>
        <w:t>d</w:t>
      </w:r>
      <w:r w:rsidR="00D17564" w:rsidRPr="00312485">
        <w:rPr>
          <w:sz w:val="24"/>
          <w:szCs w:val="24"/>
          <w:lang w:val="ro-MD"/>
        </w:rPr>
        <w:t>ezvoltarea resursei informaționale de evidență a indicatorilor bugetari la componenta cheltuieli de personal.</w:t>
      </w:r>
    </w:p>
    <w:p w14:paraId="66128172" w14:textId="5E72735E" w:rsidR="00035FE3" w:rsidRDefault="00D17564" w:rsidP="008A3519">
      <w:pPr>
        <w:tabs>
          <w:tab w:val="left" w:pos="993"/>
        </w:tabs>
        <w:rPr>
          <w:sz w:val="24"/>
          <w:szCs w:val="24"/>
          <w:lang w:val="ro-MD"/>
        </w:rPr>
      </w:pPr>
      <w:r w:rsidRPr="00B52B4A">
        <w:rPr>
          <w:i/>
          <w:sz w:val="24"/>
          <w:szCs w:val="24"/>
          <w:lang w:val="ro-MD"/>
        </w:rPr>
        <w:t>Evoluția cheltuielilor de personal</w:t>
      </w:r>
      <w:r w:rsidRPr="00312485">
        <w:rPr>
          <w:sz w:val="24"/>
          <w:szCs w:val="24"/>
          <w:lang w:val="ro-MD"/>
        </w:rPr>
        <w:t xml:space="preserve"> în anii 2024-2028, precum și numărul unităților de personal se prezintă în diagramele de mai jos:</w:t>
      </w:r>
    </w:p>
    <w:p w14:paraId="67C0CE23" w14:textId="77777777" w:rsidR="008A3519" w:rsidRPr="00312485" w:rsidRDefault="008A3519" w:rsidP="008A3519">
      <w:pPr>
        <w:tabs>
          <w:tab w:val="left" w:pos="993"/>
        </w:tabs>
        <w:rPr>
          <w:sz w:val="24"/>
          <w:szCs w:val="24"/>
          <w:lang w:val="ro-MD"/>
        </w:rPr>
      </w:pPr>
    </w:p>
    <w:tbl>
      <w:tblPr>
        <w:tblStyle w:val="1"/>
        <w:tblW w:w="5347"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269"/>
        <w:gridCol w:w="4956"/>
      </w:tblGrid>
      <w:tr w:rsidR="00D17564" w:rsidRPr="00312485" w14:paraId="613A4660" w14:textId="77777777" w:rsidTr="008A3519">
        <w:trPr>
          <w:trHeight w:val="393"/>
        </w:trPr>
        <w:tc>
          <w:tcPr>
            <w:tcW w:w="2324" w:type="pct"/>
          </w:tcPr>
          <w:p w14:paraId="768AB850" w14:textId="2F3D2923" w:rsidR="00D17564" w:rsidRPr="008A3519" w:rsidRDefault="00D17564" w:rsidP="00507FE7">
            <w:pPr>
              <w:jc w:val="center"/>
              <w:rPr>
                <w:b/>
                <w:bCs/>
                <w:sz w:val="16"/>
                <w:lang w:val="ro-MD"/>
              </w:rPr>
            </w:pPr>
            <w:r w:rsidRPr="008A3519">
              <w:rPr>
                <w:b/>
                <w:bCs/>
                <w:sz w:val="16"/>
                <w:lang w:val="ro-MD"/>
              </w:rPr>
              <w:t xml:space="preserve">Figura </w:t>
            </w:r>
            <w:r w:rsidR="009555D3" w:rsidRPr="008A3519">
              <w:rPr>
                <w:b/>
                <w:bCs/>
                <w:sz w:val="16"/>
                <w:lang w:val="ro-MD"/>
              </w:rPr>
              <w:t>3</w:t>
            </w:r>
            <w:r w:rsidRPr="008A3519">
              <w:rPr>
                <w:b/>
                <w:bCs/>
                <w:sz w:val="16"/>
                <w:lang w:val="ro-MD"/>
              </w:rPr>
              <w:t>. Evoluția cheltuielilor de personal</w:t>
            </w:r>
          </w:p>
          <w:p w14:paraId="42CDC814" w14:textId="77777777" w:rsidR="00D17564" w:rsidRPr="008A3519" w:rsidRDefault="00D17564" w:rsidP="00507FE7">
            <w:pPr>
              <w:jc w:val="center"/>
              <w:rPr>
                <w:sz w:val="16"/>
                <w:lang w:val="ro-MD"/>
              </w:rPr>
            </w:pPr>
            <w:r w:rsidRPr="008A3519">
              <w:rPr>
                <w:b/>
                <w:bCs/>
                <w:sz w:val="16"/>
                <w:lang w:val="ro-MD"/>
              </w:rPr>
              <w:t>în anii 2024-2028</w:t>
            </w:r>
          </w:p>
        </w:tc>
        <w:tc>
          <w:tcPr>
            <w:tcW w:w="2676" w:type="pct"/>
            <w:gridSpan w:val="2"/>
          </w:tcPr>
          <w:p w14:paraId="6B817A35" w14:textId="278E7854" w:rsidR="00D17564" w:rsidRPr="008A3519" w:rsidRDefault="00D17564" w:rsidP="009555D3">
            <w:pPr>
              <w:jc w:val="center"/>
              <w:rPr>
                <w:sz w:val="16"/>
                <w:lang w:val="ro-MD"/>
              </w:rPr>
            </w:pPr>
            <w:r w:rsidRPr="008A3519">
              <w:rPr>
                <w:b/>
                <w:bCs/>
                <w:sz w:val="16"/>
                <w:szCs w:val="18"/>
                <w:lang w:val="ro-MD"/>
              </w:rPr>
              <w:t xml:space="preserve">Figura </w:t>
            </w:r>
            <w:r w:rsidR="009555D3" w:rsidRPr="008A3519">
              <w:rPr>
                <w:b/>
                <w:bCs/>
                <w:sz w:val="16"/>
                <w:szCs w:val="18"/>
                <w:lang w:val="ro-MD"/>
              </w:rPr>
              <w:t>4</w:t>
            </w:r>
            <w:r w:rsidRPr="008A3519">
              <w:rPr>
                <w:b/>
                <w:bCs/>
                <w:sz w:val="16"/>
                <w:szCs w:val="18"/>
                <w:lang w:val="ro-MD"/>
              </w:rPr>
              <w:t>. Evoluția numărului de unități în sectorul bugetar</w:t>
            </w:r>
            <w:r w:rsidRPr="008A3519">
              <w:rPr>
                <w:b/>
                <w:bCs/>
                <w:sz w:val="16"/>
                <w:lang w:val="ro-MD"/>
              </w:rPr>
              <w:t xml:space="preserve"> și a cheltuielilor de personal medii lunare per unitate</w:t>
            </w:r>
          </w:p>
        </w:tc>
      </w:tr>
      <w:tr w:rsidR="00D17564" w:rsidRPr="00312485" w14:paraId="33A00093" w14:textId="77777777" w:rsidTr="008A3519">
        <w:trPr>
          <w:trHeight w:val="4454"/>
        </w:trPr>
        <w:tc>
          <w:tcPr>
            <w:tcW w:w="2462" w:type="pct"/>
            <w:gridSpan w:val="2"/>
          </w:tcPr>
          <w:p w14:paraId="13AACC49" w14:textId="77777777" w:rsidR="00D17564" w:rsidRPr="00312485" w:rsidRDefault="00D17564" w:rsidP="00507FE7">
            <w:pPr>
              <w:jc w:val="both"/>
              <w:rPr>
                <w:lang w:val="ro-MD"/>
              </w:rPr>
            </w:pPr>
            <w:r w:rsidRPr="00312485">
              <w:rPr>
                <w:noProof/>
                <w:lang w:val="ro-RO" w:eastAsia="ro-RO"/>
              </w:rPr>
              <w:drawing>
                <wp:inline distT="0" distB="0" distL="0" distR="0" wp14:anchorId="1DFA6EF1" wp14:editId="3571C4D8">
                  <wp:extent cx="2886501" cy="2776855"/>
                  <wp:effectExtent l="0" t="0" r="9525" b="444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538" w:type="pct"/>
          </w:tcPr>
          <w:p w14:paraId="1A6BC638" w14:textId="77777777" w:rsidR="00D17564" w:rsidRPr="00312485" w:rsidRDefault="00D17564" w:rsidP="00507FE7">
            <w:pPr>
              <w:jc w:val="both"/>
              <w:rPr>
                <w:lang w:val="ro-MD"/>
              </w:rPr>
            </w:pPr>
            <w:r w:rsidRPr="00312485">
              <w:rPr>
                <w:noProof/>
                <w:lang w:val="ro-RO" w:eastAsia="ro-RO"/>
              </w:rPr>
              <w:drawing>
                <wp:inline distT="0" distB="0" distL="0" distR="0" wp14:anchorId="3C9A2734" wp14:editId="0D7DC05D">
                  <wp:extent cx="3006090" cy="2777320"/>
                  <wp:effectExtent l="0" t="0" r="3810" b="444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6502B8" w:rsidRPr="00312485" w14:paraId="1A117A83" w14:textId="77777777" w:rsidTr="00451D02">
        <w:trPr>
          <w:trHeight w:val="260"/>
        </w:trPr>
        <w:tc>
          <w:tcPr>
            <w:tcW w:w="5000" w:type="pct"/>
            <w:gridSpan w:val="3"/>
          </w:tcPr>
          <w:p w14:paraId="4D323469" w14:textId="08186E9A" w:rsidR="006502B8" w:rsidRPr="00312485" w:rsidRDefault="006502B8" w:rsidP="00507FE7">
            <w:pPr>
              <w:rPr>
                <w:sz w:val="20"/>
                <w:szCs w:val="20"/>
                <w:lang w:val="ro-MD" w:eastAsia="en-GB"/>
              </w:rPr>
            </w:pPr>
            <w:r w:rsidRPr="00312485">
              <w:rPr>
                <w:i/>
                <w:sz w:val="16"/>
                <w:szCs w:val="18"/>
                <w:lang w:val="ro-MD" w:eastAsia="en-GB"/>
              </w:rPr>
              <w:t>Sursa: Ministerul Finanțelor</w:t>
            </w:r>
          </w:p>
        </w:tc>
      </w:tr>
    </w:tbl>
    <w:p w14:paraId="2B95A951" w14:textId="77777777" w:rsidR="00D17564" w:rsidRPr="00312485" w:rsidRDefault="00D17564" w:rsidP="00D11847">
      <w:pPr>
        <w:spacing w:line="276" w:lineRule="auto"/>
        <w:ind w:firstLine="0"/>
        <w:rPr>
          <w:rFonts w:ascii="Calibri" w:eastAsia="Calibri" w:hAnsi="Calibri"/>
          <w:b/>
          <w:color w:val="0F243E"/>
          <w:sz w:val="22"/>
          <w:szCs w:val="22"/>
          <w:lang w:val="ro-MD"/>
        </w:rPr>
      </w:pPr>
    </w:p>
    <w:p w14:paraId="2D6DA81A" w14:textId="0C63D779" w:rsidR="00681CA9" w:rsidRPr="00312485" w:rsidRDefault="00681CA9" w:rsidP="00681CA9">
      <w:pPr>
        <w:ind w:firstLine="720"/>
        <w:rPr>
          <w:rFonts w:eastAsia="Calibri"/>
          <w:bCs/>
          <w:sz w:val="24"/>
          <w:szCs w:val="24"/>
          <w:lang w:val="ro-MD"/>
        </w:rPr>
      </w:pPr>
      <w:r w:rsidRPr="00312485">
        <w:rPr>
          <w:rFonts w:eastAsia="Calibri"/>
          <w:bCs/>
          <w:sz w:val="24"/>
          <w:szCs w:val="24"/>
          <w:lang w:val="ro-MD"/>
        </w:rPr>
        <w:t>Raportul maximal al cheltuielilor de personal în PIB, se înregistrează în anul 2025 cu 8,49 la sută. Pentru anii 2026-2028 se prognozează că aceste cheltuieli vor atinge nivelul de 8,53% în anul 2026, 8,16% în anul 2027 și 8,16% în anul 2028. Ponderea cheltuielilor de personal în totalul cheltuielilor publice BPN pe termen mediu se estimează a se încadra în intervalul de la 21,3% în anul 2026 până la 20,6% în anul 2028. Se menționează că în anul curent indicele respectiv este de 22,40%.</w:t>
      </w:r>
    </w:p>
    <w:p w14:paraId="62D6A9E9" w14:textId="77777777" w:rsidR="00681CA9" w:rsidRPr="00312485" w:rsidRDefault="00681CA9" w:rsidP="00681CA9">
      <w:pPr>
        <w:ind w:firstLine="720"/>
        <w:rPr>
          <w:rFonts w:eastAsia="Calibri"/>
          <w:bCs/>
          <w:sz w:val="24"/>
          <w:szCs w:val="24"/>
          <w:lang w:val="ro-MD"/>
        </w:rPr>
      </w:pPr>
      <w:r w:rsidRPr="00312485">
        <w:rPr>
          <w:rFonts w:eastAsia="Calibri"/>
          <w:bCs/>
          <w:sz w:val="24"/>
          <w:szCs w:val="24"/>
          <w:lang w:val="ro-MD"/>
        </w:rPr>
        <w:t>În valori nominale volumul total al cheltuielilor de personal se planifică în creștere de la 29 815,4 mil lei, aprobat în anul curent, până la 35 948,1 mil lei în anul 2028.  Se menționează că estimarea evoluției numărului unităților de personal pentru anii 2026-2028 a fost realizată ținând cont de nivelul atestat al unităților de personal pentru anul în curs.</w:t>
      </w:r>
    </w:p>
    <w:p w14:paraId="60413FE3" w14:textId="7EBDD573" w:rsidR="00681CA9" w:rsidRPr="00312485" w:rsidRDefault="00681CA9" w:rsidP="0028282B">
      <w:pPr>
        <w:spacing w:before="120"/>
        <w:ind w:firstLine="720"/>
        <w:rPr>
          <w:rFonts w:eastAsia="Calibri"/>
          <w:bCs/>
          <w:sz w:val="24"/>
          <w:szCs w:val="24"/>
          <w:lang w:val="ro-MD"/>
        </w:rPr>
      </w:pPr>
      <w:r w:rsidRPr="00312485">
        <w:rPr>
          <w:rFonts w:eastAsia="Calibri"/>
          <w:b/>
          <w:bCs/>
          <w:i/>
          <w:sz w:val="24"/>
          <w:szCs w:val="24"/>
          <w:lang w:val="ro-MD"/>
        </w:rPr>
        <w:t xml:space="preserve">Totuși aceste estimări nu țin </w:t>
      </w:r>
      <w:r w:rsidR="003A69BE" w:rsidRPr="00312485">
        <w:rPr>
          <w:rFonts w:eastAsia="Calibri"/>
          <w:b/>
          <w:bCs/>
          <w:i/>
          <w:sz w:val="24"/>
          <w:szCs w:val="24"/>
          <w:lang w:val="ro-MD"/>
        </w:rPr>
        <w:t xml:space="preserve">cont </w:t>
      </w:r>
      <w:r w:rsidRPr="00312485">
        <w:rPr>
          <w:rFonts w:eastAsia="Calibri"/>
          <w:b/>
          <w:bCs/>
          <w:i/>
          <w:sz w:val="24"/>
          <w:szCs w:val="24"/>
          <w:lang w:val="ro-MD"/>
        </w:rPr>
        <w:t>pe deplin de eventualul impact al reformei salariale propuse pe termen mediu, precum și evoluțiile posibile ale fluctuației unităților de personal în rezultatul acestei reforme. Impactul estimat al reformei salariale va fi considerat și calibrat cu posibilitățile bugetare la următorul ciclu bugetar</w:t>
      </w:r>
      <w:r w:rsidRPr="00312485">
        <w:rPr>
          <w:rFonts w:eastAsia="Calibri"/>
          <w:bCs/>
          <w:sz w:val="24"/>
          <w:szCs w:val="24"/>
          <w:lang w:val="ro-MD"/>
        </w:rPr>
        <w:t xml:space="preserve">.  </w:t>
      </w:r>
    </w:p>
    <w:p w14:paraId="5917211C" w14:textId="77777777" w:rsidR="00D16C75" w:rsidRPr="00312485" w:rsidRDefault="00D16C75" w:rsidP="00D16C75">
      <w:pPr>
        <w:autoSpaceDE w:val="0"/>
        <w:autoSpaceDN w:val="0"/>
        <w:adjustRightInd w:val="0"/>
        <w:ind w:firstLine="0"/>
        <w:rPr>
          <w:sz w:val="24"/>
          <w:szCs w:val="24"/>
          <w:lang w:val="ro-MD"/>
        </w:rPr>
      </w:pPr>
    </w:p>
    <w:p w14:paraId="31687EBD" w14:textId="5DCB1B05" w:rsidR="00D17564" w:rsidRPr="00312485" w:rsidRDefault="00D16C75" w:rsidP="006D26E6">
      <w:pPr>
        <w:pStyle w:val="Title1"/>
        <w:spacing w:before="0" w:after="0" w:line="240" w:lineRule="auto"/>
        <w:ind w:firstLine="567"/>
        <w:rPr>
          <w:sz w:val="24"/>
          <w:szCs w:val="24"/>
          <w:lang w:val="ro-MD"/>
        </w:rPr>
      </w:pPr>
      <w:r w:rsidRPr="00312485">
        <w:rPr>
          <w:rFonts w:ascii="Times New Roman" w:hAnsi="Times New Roman"/>
          <w:i/>
          <w:color w:val="auto"/>
          <w:sz w:val="24"/>
          <w:szCs w:val="24"/>
          <w:lang w:val="ro-MD"/>
        </w:rPr>
        <w:t>Plata dobânzilor</w:t>
      </w:r>
    </w:p>
    <w:p w14:paraId="1BA49913" w14:textId="18BB43B8" w:rsidR="00D16C75" w:rsidRPr="00312485" w:rsidRDefault="00E95D44" w:rsidP="006D26E6">
      <w:pPr>
        <w:ind w:firstLine="567"/>
        <w:rPr>
          <w:rFonts w:eastAsia="Calibri"/>
          <w:bCs/>
          <w:sz w:val="24"/>
          <w:szCs w:val="24"/>
          <w:lang w:val="ro-MD"/>
        </w:rPr>
      </w:pPr>
      <w:r w:rsidRPr="00312485">
        <w:rPr>
          <w:rFonts w:eastAsia="Calibri"/>
          <w:bCs/>
          <w:sz w:val="24"/>
          <w:szCs w:val="24"/>
          <w:lang w:val="ro-MD"/>
        </w:rPr>
        <w:t>În contextul evoluțiilor macroeconomice și al tendințelor pe piețele financiare, plățile aferente serviciului datoriei de stat vor înregistra fluctuații, atingând un nivel de până la 1,6% din PIB în perioada 2026-2028. Detalii suplimentare sunt prezentate în secțiunea D a acestui capitol.</w:t>
      </w:r>
    </w:p>
    <w:p w14:paraId="0009D121" w14:textId="3B6EFB8A" w:rsidR="00C05D1A" w:rsidRPr="00312485" w:rsidRDefault="00E75640" w:rsidP="00D458EE">
      <w:pPr>
        <w:autoSpaceDE w:val="0"/>
        <w:autoSpaceDN w:val="0"/>
        <w:adjustRightInd w:val="0"/>
        <w:spacing w:before="120"/>
        <w:ind w:firstLine="567"/>
        <w:rPr>
          <w:b/>
          <w:i/>
          <w:sz w:val="24"/>
          <w:szCs w:val="24"/>
          <w:lang w:val="ro-MD"/>
        </w:rPr>
      </w:pPr>
      <w:r w:rsidRPr="00312485">
        <w:rPr>
          <w:b/>
          <w:i/>
          <w:sz w:val="24"/>
          <w:szCs w:val="24"/>
          <w:lang w:val="ro-MD"/>
        </w:rPr>
        <w:lastRenderedPageBreak/>
        <w:t>Prioritățile politicii cheltuielilor pe sectoare</w:t>
      </w:r>
    </w:p>
    <w:p w14:paraId="7FDC2327" w14:textId="77777777" w:rsidR="00D458EE" w:rsidRPr="00312485" w:rsidRDefault="00D458EE" w:rsidP="009C02C3">
      <w:pPr>
        <w:ind w:firstLine="567"/>
        <w:rPr>
          <w:b/>
          <w:bCs/>
          <w:i/>
          <w:iCs/>
          <w:sz w:val="24"/>
          <w:szCs w:val="24"/>
          <w:lang w:val="ro-MD" w:eastAsia="ru-RU"/>
        </w:rPr>
      </w:pPr>
    </w:p>
    <w:p w14:paraId="4C8BE6AF" w14:textId="4AF04D8E" w:rsidR="009C02C3" w:rsidRPr="00312485" w:rsidRDefault="009C02C3" w:rsidP="009C02C3">
      <w:pPr>
        <w:ind w:firstLine="567"/>
        <w:rPr>
          <w:sz w:val="24"/>
          <w:szCs w:val="24"/>
          <w:lang w:val="ro-MD" w:eastAsia="ru-RU"/>
        </w:rPr>
      </w:pPr>
      <w:r w:rsidRPr="00312485">
        <w:rPr>
          <w:b/>
          <w:bCs/>
          <w:i/>
          <w:iCs/>
          <w:sz w:val="24"/>
          <w:szCs w:val="24"/>
          <w:lang w:val="ro-MD" w:eastAsia="ru-RU"/>
        </w:rPr>
        <w:t>Servicii generale de stat (01)</w:t>
      </w:r>
    </w:p>
    <w:p w14:paraId="25FCBF68" w14:textId="48114CD4" w:rsidR="009C02C3" w:rsidRPr="00312485" w:rsidRDefault="009C02C3" w:rsidP="009C02C3">
      <w:pPr>
        <w:ind w:firstLine="567"/>
        <w:rPr>
          <w:sz w:val="24"/>
          <w:szCs w:val="24"/>
          <w:lang w:val="ro-MD" w:eastAsia="ru-RU"/>
        </w:rPr>
      </w:pPr>
      <w:r w:rsidRPr="00312485">
        <w:rPr>
          <w:sz w:val="24"/>
          <w:szCs w:val="24"/>
          <w:lang w:val="ro-MD" w:eastAsia="ru-RU"/>
        </w:rPr>
        <w:t>Reforma administrației publice</w:t>
      </w:r>
      <w:r w:rsidR="005829A9" w:rsidRPr="00312485">
        <w:rPr>
          <w:sz w:val="24"/>
          <w:szCs w:val="24"/>
          <w:lang w:val="ro-MD" w:eastAsia="ru-RU"/>
        </w:rPr>
        <w:t xml:space="preserve"> pentru anii 2023-2030</w:t>
      </w:r>
      <w:r w:rsidRPr="00312485">
        <w:rPr>
          <w:sz w:val="24"/>
          <w:szCs w:val="24"/>
          <w:lang w:val="ro-MD" w:eastAsia="ru-RU"/>
        </w:rPr>
        <w:t xml:space="preserve">, menită să îmbunătățească calitatea administrației publice la toate nivelurile în conformitate cu rigorile UE, este una dintre prioritățile recunoscute </w:t>
      </w:r>
      <w:proofErr w:type="spellStart"/>
      <w:r w:rsidRPr="00312485">
        <w:rPr>
          <w:sz w:val="24"/>
          <w:szCs w:val="24"/>
          <w:lang w:val="ro-MD" w:eastAsia="ru-RU"/>
        </w:rPr>
        <w:t>şi</w:t>
      </w:r>
      <w:proofErr w:type="spellEnd"/>
      <w:r w:rsidRPr="00312485">
        <w:rPr>
          <w:sz w:val="24"/>
          <w:szCs w:val="24"/>
          <w:lang w:val="ro-MD" w:eastAsia="ru-RU"/>
        </w:rPr>
        <w:t xml:space="preserve"> asumate de către Guvernul Republicii Moldova, iar implementarea acesteia este considerată o precondiție pentru realizarea tuturor reformelor cu urmări directe asupra cetățenilor, care vizează interesul public, soluționarea promptă a situațiilor de urgență.</w:t>
      </w:r>
    </w:p>
    <w:p w14:paraId="6C47D251" w14:textId="37418AF1" w:rsidR="009C02C3" w:rsidRPr="00312485" w:rsidRDefault="009C02C3" w:rsidP="009C02C3">
      <w:pPr>
        <w:ind w:firstLine="567"/>
        <w:rPr>
          <w:sz w:val="24"/>
          <w:szCs w:val="24"/>
          <w:lang w:val="ro-MD" w:eastAsia="ru-RU"/>
        </w:rPr>
      </w:pPr>
      <w:r w:rsidRPr="00312485">
        <w:rPr>
          <w:i/>
          <w:iCs/>
          <w:sz w:val="24"/>
          <w:szCs w:val="24"/>
          <w:lang w:val="ro-MD" w:eastAsia="ru-RU"/>
        </w:rPr>
        <w:t xml:space="preserve">Principalele măsuri </w:t>
      </w:r>
      <w:proofErr w:type="spellStart"/>
      <w:r w:rsidRPr="00312485">
        <w:rPr>
          <w:i/>
          <w:iCs/>
          <w:sz w:val="24"/>
          <w:szCs w:val="24"/>
          <w:lang w:val="ro-MD" w:eastAsia="ru-RU"/>
        </w:rPr>
        <w:t>şi</w:t>
      </w:r>
      <w:proofErr w:type="spellEnd"/>
      <w:r w:rsidRPr="00312485">
        <w:rPr>
          <w:i/>
          <w:iCs/>
          <w:sz w:val="24"/>
          <w:szCs w:val="24"/>
          <w:lang w:val="ro-MD" w:eastAsia="ru-RU"/>
        </w:rPr>
        <w:t xml:space="preserve"> acțiuni planificate în perioada 2026-2028:</w:t>
      </w:r>
    </w:p>
    <w:p w14:paraId="1A5C6FF4" w14:textId="780675C9" w:rsidR="009C02C3" w:rsidRPr="00312485" w:rsidRDefault="009C02C3" w:rsidP="009C02C3">
      <w:pPr>
        <w:numPr>
          <w:ilvl w:val="0"/>
          <w:numId w:val="4"/>
        </w:numPr>
        <w:ind w:left="0" w:firstLine="491"/>
        <w:rPr>
          <w:sz w:val="24"/>
          <w:szCs w:val="24"/>
          <w:lang w:val="ro-MD"/>
        </w:rPr>
      </w:pPr>
      <w:r w:rsidRPr="00312485">
        <w:rPr>
          <w:sz w:val="24"/>
          <w:szCs w:val="24"/>
          <w:lang w:val="ro-MD"/>
        </w:rPr>
        <w:t>dezvoltarea serviciilor publice prin intermediul reformei administrației publice;</w:t>
      </w:r>
    </w:p>
    <w:p w14:paraId="673FA74C" w14:textId="2B938C67"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coordonarea </w:t>
      </w:r>
      <w:proofErr w:type="spellStart"/>
      <w:r w:rsidRPr="00312485">
        <w:rPr>
          <w:sz w:val="24"/>
          <w:szCs w:val="24"/>
          <w:lang w:val="ro-MD"/>
        </w:rPr>
        <w:t>şi</w:t>
      </w:r>
      <w:proofErr w:type="spellEnd"/>
      <w:r w:rsidRPr="00312485">
        <w:rPr>
          <w:sz w:val="24"/>
          <w:szCs w:val="24"/>
          <w:lang w:val="ro-MD"/>
        </w:rPr>
        <w:t xml:space="preserve"> monitorizarea activităților de integrare europeană la nivel național;</w:t>
      </w:r>
    </w:p>
    <w:p w14:paraId="10020FA4" w14:textId="778EB1FE"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consolidarea instituțională </w:t>
      </w:r>
      <w:proofErr w:type="spellStart"/>
      <w:r w:rsidRPr="00312485">
        <w:rPr>
          <w:sz w:val="24"/>
          <w:szCs w:val="24"/>
          <w:lang w:val="ro-MD"/>
        </w:rPr>
        <w:t>şi</w:t>
      </w:r>
      <w:proofErr w:type="spellEnd"/>
      <w:r w:rsidRPr="00312485">
        <w:rPr>
          <w:sz w:val="24"/>
          <w:szCs w:val="24"/>
          <w:lang w:val="ro-MD"/>
        </w:rPr>
        <w:t xml:space="preserve"> financiară a autorităților locale prin acordarea stimulentelor financiare (dezvoltarea infrastructurii </w:t>
      </w:r>
      <w:proofErr w:type="spellStart"/>
      <w:r w:rsidRPr="00312485">
        <w:rPr>
          <w:sz w:val="24"/>
          <w:szCs w:val="24"/>
          <w:lang w:val="ro-MD"/>
        </w:rPr>
        <w:t>şi</w:t>
      </w:r>
      <w:proofErr w:type="spellEnd"/>
      <w:r w:rsidRPr="00312485">
        <w:rPr>
          <w:sz w:val="24"/>
          <w:szCs w:val="24"/>
          <w:lang w:val="ro-MD"/>
        </w:rPr>
        <w:t xml:space="preserve"> sporuri salariale) în cadrul procesului de amalgamare voluntară a unităților administrativ-teritoriale de nivelul întâi;</w:t>
      </w:r>
    </w:p>
    <w:p w14:paraId="3A1EB1D0" w14:textId="47F4E261"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creșterea calității </w:t>
      </w:r>
      <w:proofErr w:type="spellStart"/>
      <w:r w:rsidRPr="00312485">
        <w:rPr>
          <w:sz w:val="24"/>
          <w:szCs w:val="24"/>
          <w:lang w:val="ro-MD"/>
        </w:rPr>
        <w:t>şi</w:t>
      </w:r>
      <w:proofErr w:type="spellEnd"/>
      <w:r w:rsidRPr="00312485">
        <w:rPr>
          <w:sz w:val="24"/>
          <w:szCs w:val="24"/>
          <w:lang w:val="ro-MD"/>
        </w:rPr>
        <w:t xml:space="preserve"> accesibilității serviciilor publice, digitalizării acestora în direcția adaptării serviciilor publice la nevoile cetățenilor;</w:t>
      </w:r>
    </w:p>
    <w:p w14:paraId="46984AFC" w14:textId="30696F3E" w:rsidR="009C02C3" w:rsidRPr="00312485" w:rsidRDefault="009C02C3" w:rsidP="009C02C3">
      <w:pPr>
        <w:numPr>
          <w:ilvl w:val="0"/>
          <w:numId w:val="4"/>
        </w:numPr>
        <w:ind w:left="0" w:firstLine="491"/>
        <w:rPr>
          <w:sz w:val="24"/>
          <w:szCs w:val="24"/>
          <w:lang w:val="ro-MD"/>
        </w:rPr>
      </w:pPr>
      <w:r w:rsidRPr="00312485">
        <w:rPr>
          <w:sz w:val="24"/>
          <w:szCs w:val="24"/>
          <w:lang w:val="ro-MD"/>
        </w:rPr>
        <w:t>consolidarea gestionării finanțelor publice;</w:t>
      </w:r>
    </w:p>
    <w:p w14:paraId="5B8177E4" w14:textId="11C567F3" w:rsidR="009C02C3" w:rsidRPr="00312485" w:rsidRDefault="009C02C3" w:rsidP="009C02C3">
      <w:pPr>
        <w:numPr>
          <w:ilvl w:val="0"/>
          <w:numId w:val="4"/>
        </w:numPr>
        <w:ind w:left="0" w:firstLine="491"/>
        <w:rPr>
          <w:sz w:val="24"/>
          <w:szCs w:val="24"/>
          <w:lang w:val="ro-MD"/>
        </w:rPr>
      </w:pPr>
      <w:r w:rsidRPr="00312485">
        <w:rPr>
          <w:sz w:val="24"/>
          <w:szCs w:val="24"/>
          <w:lang w:val="ro-MD"/>
        </w:rPr>
        <w:t>prevenirea și combaterea amenințărilor hibride pe palierul securității cibernetice și informaționale;</w:t>
      </w:r>
    </w:p>
    <w:p w14:paraId="10E15793" w14:textId="42CC7CC6" w:rsidR="009C02C3" w:rsidRPr="00312485" w:rsidRDefault="009C02C3" w:rsidP="009C02C3">
      <w:pPr>
        <w:numPr>
          <w:ilvl w:val="0"/>
          <w:numId w:val="4"/>
        </w:numPr>
        <w:ind w:left="0" w:firstLine="491"/>
        <w:rPr>
          <w:sz w:val="24"/>
          <w:szCs w:val="24"/>
          <w:lang w:val="ro-MD"/>
        </w:rPr>
      </w:pPr>
      <w:r w:rsidRPr="00312485">
        <w:rPr>
          <w:sz w:val="24"/>
          <w:szCs w:val="24"/>
          <w:lang w:val="ro-MD"/>
        </w:rPr>
        <w:t>consolidarea și modernizarea sistemului statistic național;</w:t>
      </w:r>
    </w:p>
    <w:p w14:paraId="2FE94B8A" w14:textId="5B9EA7BB" w:rsidR="009C02C3" w:rsidRPr="00312485" w:rsidRDefault="009C02C3" w:rsidP="009C02C3">
      <w:pPr>
        <w:numPr>
          <w:ilvl w:val="0"/>
          <w:numId w:val="4"/>
        </w:numPr>
        <w:ind w:left="0" w:firstLine="491"/>
        <w:rPr>
          <w:sz w:val="24"/>
          <w:szCs w:val="24"/>
          <w:lang w:val="ro-MD"/>
        </w:rPr>
      </w:pPr>
      <w:r w:rsidRPr="00312485">
        <w:rPr>
          <w:sz w:val="24"/>
          <w:szCs w:val="24"/>
          <w:lang w:val="ro-MD"/>
        </w:rPr>
        <w:t>optimizarea procesului de votare prin implementarea noilor tehnologii, inclusiv a votului prin corespondență;</w:t>
      </w:r>
    </w:p>
    <w:p w14:paraId="2403BC42" w14:textId="32F5C29E"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consolidarea încrederii între ambele maluri ale Nistrului prin dezvoltarea </w:t>
      </w:r>
      <w:proofErr w:type="spellStart"/>
      <w:r w:rsidRPr="00312485">
        <w:rPr>
          <w:sz w:val="24"/>
          <w:szCs w:val="24"/>
          <w:lang w:val="ro-MD"/>
        </w:rPr>
        <w:t>şi</w:t>
      </w:r>
      <w:proofErr w:type="spellEnd"/>
      <w:r w:rsidRPr="00312485">
        <w:rPr>
          <w:sz w:val="24"/>
          <w:szCs w:val="24"/>
          <w:lang w:val="ro-MD"/>
        </w:rPr>
        <w:t xml:space="preserve"> modernizarea infrastructurii din raioanele de est </w:t>
      </w:r>
      <w:proofErr w:type="spellStart"/>
      <w:r w:rsidRPr="00312485">
        <w:rPr>
          <w:sz w:val="24"/>
          <w:szCs w:val="24"/>
          <w:lang w:val="ro-MD"/>
        </w:rPr>
        <w:t>şi</w:t>
      </w:r>
      <w:proofErr w:type="spellEnd"/>
      <w:r w:rsidRPr="00312485">
        <w:rPr>
          <w:sz w:val="24"/>
          <w:szCs w:val="24"/>
          <w:lang w:val="ro-MD"/>
        </w:rPr>
        <w:t xml:space="preserve"> din Zona de Securitate;</w:t>
      </w:r>
    </w:p>
    <w:p w14:paraId="3E5A029F" w14:textId="5D4049E5"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asigurarea completării rezervelor de stat </w:t>
      </w:r>
      <w:proofErr w:type="spellStart"/>
      <w:r w:rsidRPr="00312485">
        <w:rPr>
          <w:sz w:val="24"/>
          <w:szCs w:val="24"/>
          <w:lang w:val="ro-MD"/>
        </w:rPr>
        <w:t>şi</w:t>
      </w:r>
      <w:proofErr w:type="spellEnd"/>
      <w:r w:rsidRPr="00312485">
        <w:rPr>
          <w:sz w:val="24"/>
          <w:szCs w:val="24"/>
          <w:lang w:val="ro-MD"/>
        </w:rPr>
        <w:t xml:space="preserve"> de mobilizare;</w:t>
      </w:r>
    </w:p>
    <w:p w14:paraId="1E237504" w14:textId="7B3F0A89" w:rsidR="009C02C3" w:rsidRPr="00312485" w:rsidRDefault="009C02C3" w:rsidP="009C02C3">
      <w:pPr>
        <w:numPr>
          <w:ilvl w:val="0"/>
          <w:numId w:val="4"/>
        </w:numPr>
        <w:ind w:left="0" w:firstLine="491"/>
        <w:rPr>
          <w:sz w:val="24"/>
          <w:szCs w:val="24"/>
          <w:lang w:val="ro-MD"/>
        </w:rPr>
      </w:pPr>
      <w:r w:rsidRPr="00312485">
        <w:rPr>
          <w:sz w:val="24"/>
          <w:szCs w:val="24"/>
          <w:lang w:val="ro-MD"/>
        </w:rPr>
        <w:t xml:space="preserve">susținerea diasporei prin diferite activități </w:t>
      </w:r>
      <w:proofErr w:type="spellStart"/>
      <w:r w:rsidRPr="00312485">
        <w:rPr>
          <w:sz w:val="24"/>
          <w:szCs w:val="24"/>
          <w:lang w:val="ro-MD"/>
        </w:rPr>
        <w:t>şi</w:t>
      </w:r>
      <w:proofErr w:type="spellEnd"/>
      <w:r w:rsidRPr="00312485">
        <w:rPr>
          <w:sz w:val="24"/>
          <w:szCs w:val="24"/>
          <w:lang w:val="ro-MD"/>
        </w:rPr>
        <w:t xml:space="preserve"> proiecte;</w:t>
      </w:r>
    </w:p>
    <w:p w14:paraId="07039942" w14:textId="14CBAEAD" w:rsidR="009C02C3" w:rsidRPr="00312485" w:rsidRDefault="009C02C3" w:rsidP="009C02C3">
      <w:pPr>
        <w:numPr>
          <w:ilvl w:val="0"/>
          <w:numId w:val="4"/>
        </w:numPr>
        <w:ind w:left="0" w:firstLine="491"/>
        <w:rPr>
          <w:sz w:val="24"/>
          <w:szCs w:val="24"/>
          <w:lang w:val="ro-MD"/>
        </w:rPr>
      </w:pPr>
      <w:r w:rsidRPr="00312485">
        <w:rPr>
          <w:sz w:val="24"/>
          <w:szCs w:val="24"/>
          <w:lang w:val="ro-MD"/>
        </w:rPr>
        <w:t>gestionarea situațiilor imprevizibile/excepționale;</w:t>
      </w:r>
    </w:p>
    <w:p w14:paraId="0C3FA138" w14:textId="18870B6D" w:rsidR="009C02C3" w:rsidRPr="00312485" w:rsidRDefault="009C02C3" w:rsidP="009C02C3">
      <w:pPr>
        <w:numPr>
          <w:ilvl w:val="0"/>
          <w:numId w:val="4"/>
        </w:numPr>
        <w:ind w:left="0" w:firstLine="491"/>
        <w:rPr>
          <w:sz w:val="24"/>
          <w:szCs w:val="24"/>
          <w:lang w:val="ro-MD"/>
        </w:rPr>
      </w:pPr>
      <w:r w:rsidRPr="00312485">
        <w:rPr>
          <w:sz w:val="24"/>
          <w:szCs w:val="24"/>
          <w:lang w:val="ro-MD"/>
        </w:rPr>
        <w:t>susținerea financiară a unităților administrativ-teritoriale.</w:t>
      </w:r>
    </w:p>
    <w:p w14:paraId="5091FAAD" w14:textId="77777777" w:rsidR="00E75640" w:rsidRPr="00312485" w:rsidRDefault="00E75640" w:rsidP="00796D16">
      <w:pPr>
        <w:autoSpaceDE w:val="0"/>
        <w:autoSpaceDN w:val="0"/>
        <w:adjustRightInd w:val="0"/>
        <w:ind w:firstLine="567"/>
        <w:rPr>
          <w:sz w:val="24"/>
          <w:szCs w:val="24"/>
          <w:lang w:val="ro-MD"/>
        </w:rPr>
      </w:pPr>
    </w:p>
    <w:p w14:paraId="50EC1FF0" w14:textId="77777777" w:rsidR="00131042" w:rsidRPr="00312485" w:rsidRDefault="00131042" w:rsidP="00131042">
      <w:pPr>
        <w:ind w:firstLine="567"/>
        <w:rPr>
          <w:sz w:val="24"/>
          <w:szCs w:val="24"/>
          <w:lang w:val="ro-MD" w:eastAsia="ru-RU"/>
        </w:rPr>
      </w:pPr>
      <w:r w:rsidRPr="00312485">
        <w:rPr>
          <w:b/>
          <w:bCs/>
          <w:i/>
          <w:iCs/>
          <w:sz w:val="24"/>
          <w:szCs w:val="24"/>
          <w:lang w:val="ro-MD" w:eastAsia="ru-RU"/>
        </w:rPr>
        <w:t>Afaceri externe (02)</w:t>
      </w:r>
    </w:p>
    <w:p w14:paraId="6F60982E" w14:textId="69EF5602" w:rsidR="005829A9" w:rsidRPr="00312485" w:rsidRDefault="00131042" w:rsidP="005829A9">
      <w:pPr>
        <w:ind w:firstLine="567"/>
        <w:rPr>
          <w:sz w:val="24"/>
          <w:szCs w:val="24"/>
          <w:lang w:val="ro-MD" w:eastAsia="ru-RU"/>
        </w:rPr>
      </w:pPr>
      <w:r w:rsidRPr="00312485">
        <w:rPr>
          <w:sz w:val="24"/>
          <w:szCs w:val="24"/>
          <w:lang w:val="ro-MD" w:eastAsia="ru-RU"/>
        </w:rPr>
        <w:t xml:space="preserve">Republica Moldova </w:t>
      </w:r>
      <w:r w:rsidR="005829A9" w:rsidRPr="00312485">
        <w:rPr>
          <w:sz w:val="24"/>
          <w:szCs w:val="24"/>
          <w:lang w:val="ro-MD" w:eastAsia="ru-RU"/>
        </w:rPr>
        <w:t>urmează să extindă și să consolideze prezența diplomatică pentru promovarea intereselor statului, cu implicare activă și cooperare prin platformele de parteneriate UE.</w:t>
      </w:r>
    </w:p>
    <w:p w14:paraId="38E0592A" w14:textId="2E3B25AA" w:rsidR="00131042" w:rsidRPr="00312485" w:rsidRDefault="00131042" w:rsidP="00131042">
      <w:pPr>
        <w:ind w:firstLine="567"/>
        <w:rPr>
          <w:sz w:val="24"/>
          <w:szCs w:val="24"/>
          <w:lang w:val="ro-MD" w:eastAsia="ru-RU"/>
        </w:rPr>
      </w:pPr>
      <w:r w:rsidRPr="00312485">
        <w:rPr>
          <w:i/>
          <w:iCs/>
          <w:sz w:val="24"/>
          <w:szCs w:val="24"/>
          <w:lang w:val="ro-MD" w:eastAsia="ru-RU"/>
        </w:rPr>
        <w:t xml:space="preserve">Principalele măsuri </w:t>
      </w:r>
      <w:proofErr w:type="spellStart"/>
      <w:r w:rsidRPr="00312485">
        <w:rPr>
          <w:i/>
          <w:iCs/>
          <w:sz w:val="24"/>
          <w:szCs w:val="24"/>
          <w:lang w:val="ro-MD" w:eastAsia="ru-RU"/>
        </w:rPr>
        <w:t>şi</w:t>
      </w:r>
      <w:proofErr w:type="spellEnd"/>
      <w:r w:rsidRPr="00312485">
        <w:rPr>
          <w:i/>
          <w:iCs/>
          <w:sz w:val="24"/>
          <w:szCs w:val="24"/>
          <w:lang w:val="ro-MD" w:eastAsia="ru-RU"/>
        </w:rPr>
        <w:t xml:space="preserve"> acțiuni planificate în perioada anilor 2026-2028:</w:t>
      </w:r>
    </w:p>
    <w:p w14:paraId="5989FE40" w14:textId="77777777" w:rsidR="00131042" w:rsidRPr="00312485" w:rsidRDefault="00131042" w:rsidP="00131042">
      <w:pPr>
        <w:numPr>
          <w:ilvl w:val="0"/>
          <w:numId w:val="4"/>
        </w:numPr>
        <w:ind w:left="0" w:firstLine="491"/>
        <w:rPr>
          <w:sz w:val="24"/>
          <w:szCs w:val="24"/>
          <w:lang w:val="ro-MD"/>
        </w:rPr>
      </w:pPr>
      <w:r w:rsidRPr="00312485">
        <w:rPr>
          <w:sz w:val="24"/>
          <w:szCs w:val="24"/>
          <w:lang w:val="ro-MD"/>
        </w:rPr>
        <w:t>consolidarea capacităților administrației publice în ceea ce privește dimensiunea de integrare europeană;</w:t>
      </w:r>
    </w:p>
    <w:p w14:paraId="765005ED" w14:textId="221D4FC5" w:rsidR="00131042" w:rsidRPr="00312485" w:rsidRDefault="00131042" w:rsidP="00131042">
      <w:pPr>
        <w:numPr>
          <w:ilvl w:val="0"/>
          <w:numId w:val="4"/>
        </w:numPr>
        <w:ind w:left="0" w:firstLine="491"/>
        <w:rPr>
          <w:sz w:val="24"/>
          <w:szCs w:val="24"/>
          <w:lang w:val="ro-MD"/>
        </w:rPr>
      </w:pPr>
      <w:r w:rsidRPr="00312485">
        <w:rPr>
          <w:sz w:val="24"/>
          <w:szCs w:val="24"/>
          <w:lang w:val="ro-MD"/>
        </w:rPr>
        <w:t xml:space="preserve">implementarea angajamentelor ce țin de procesul de accedere la UE </w:t>
      </w:r>
      <w:proofErr w:type="spellStart"/>
      <w:r w:rsidRPr="00312485">
        <w:rPr>
          <w:sz w:val="24"/>
          <w:szCs w:val="24"/>
          <w:lang w:val="ro-MD"/>
        </w:rPr>
        <w:t>şi</w:t>
      </w:r>
      <w:proofErr w:type="spellEnd"/>
      <w:r w:rsidRPr="00312485">
        <w:rPr>
          <w:sz w:val="24"/>
          <w:szCs w:val="24"/>
          <w:lang w:val="ro-MD"/>
        </w:rPr>
        <w:t xml:space="preserve"> procesul de armonizare a legislației naționale la acquis-</w:t>
      </w:r>
      <w:proofErr w:type="spellStart"/>
      <w:r w:rsidRPr="00312485">
        <w:rPr>
          <w:sz w:val="24"/>
          <w:szCs w:val="24"/>
          <w:lang w:val="ro-MD"/>
        </w:rPr>
        <w:t>ul</w:t>
      </w:r>
      <w:proofErr w:type="spellEnd"/>
      <w:r w:rsidRPr="00312485">
        <w:rPr>
          <w:sz w:val="24"/>
          <w:szCs w:val="24"/>
          <w:lang w:val="ro-MD"/>
        </w:rPr>
        <w:t xml:space="preserve"> UE în domeniul politic </w:t>
      </w:r>
      <w:proofErr w:type="spellStart"/>
      <w:r w:rsidRPr="00312485">
        <w:rPr>
          <w:sz w:val="24"/>
          <w:szCs w:val="24"/>
          <w:lang w:val="ro-MD"/>
        </w:rPr>
        <w:t>şi</w:t>
      </w:r>
      <w:proofErr w:type="spellEnd"/>
      <w:r w:rsidRPr="00312485">
        <w:rPr>
          <w:sz w:val="24"/>
          <w:szCs w:val="24"/>
          <w:lang w:val="ro-MD"/>
        </w:rPr>
        <w:t xml:space="preserve"> de securitate;</w:t>
      </w:r>
    </w:p>
    <w:p w14:paraId="77005D3D" w14:textId="7465D826" w:rsidR="00131042" w:rsidRPr="00312485" w:rsidRDefault="00131042" w:rsidP="00131042">
      <w:pPr>
        <w:numPr>
          <w:ilvl w:val="0"/>
          <w:numId w:val="4"/>
        </w:numPr>
        <w:ind w:left="0" w:firstLine="491"/>
        <w:rPr>
          <w:sz w:val="24"/>
          <w:szCs w:val="24"/>
          <w:lang w:val="ro-MD"/>
        </w:rPr>
      </w:pPr>
      <w:r w:rsidRPr="00312485">
        <w:rPr>
          <w:sz w:val="24"/>
          <w:szCs w:val="24"/>
          <w:lang w:val="ro-MD"/>
        </w:rPr>
        <w:t xml:space="preserve">asigurarea </w:t>
      </w:r>
      <w:proofErr w:type="spellStart"/>
      <w:r w:rsidRPr="00312485">
        <w:rPr>
          <w:sz w:val="24"/>
          <w:szCs w:val="24"/>
          <w:lang w:val="ro-MD"/>
        </w:rPr>
        <w:t>şi</w:t>
      </w:r>
      <w:proofErr w:type="spellEnd"/>
      <w:r w:rsidRPr="00312485">
        <w:rPr>
          <w:sz w:val="24"/>
          <w:szCs w:val="24"/>
          <w:lang w:val="ro-MD"/>
        </w:rPr>
        <w:t xml:space="preserve"> consolidarea prezenței diplomatice a Republicii Moldova peste hotare pentru promovarea intereselor statului nostru, inclusiv a celor economice </w:t>
      </w:r>
      <w:proofErr w:type="spellStart"/>
      <w:r w:rsidRPr="00312485">
        <w:rPr>
          <w:sz w:val="24"/>
          <w:szCs w:val="24"/>
          <w:lang w:val="ro-MD"/>
        </w:rPr>
        <w:t>şi</w:t>
      </w:r>
      <w:proofErr w:type="spellEnd"/>
      <w:r w:rsidRPr="00312485">
        <w:rPr>
          <w:sz w:val="24"/>
          <w:szCs w:val="24"/>
          <w:lang w:val="ro-MD"/>
        </w:rPr>
        <w:t xml:space="preserve"> comerciale;</w:t>
      </w:r>
    </w:p>
    <w:p w14:paraId="6405EF02" w14:textId="001EC6CF" w:rsidR="00131042" w:rsidRPr="00312485" w:rsidRDefault="00131042" w:rsidP="00131042">
      <w:pPr>
        <w:numPr>
          <w:ilvl w:val="0"/>
          <w:numId w:val="4"/>
        </w:numPr>
        <w:ind w:left="0" w:firstLine="491"/>
        <w:rPr>
          <w:sz w:val="24"/>
          <w:szCs w:val="24"/>
          <w:lang w:val="ro-MD"/>
        </w:rPr>
      </w:pPr>
      <w:r w:rsidRPr="00312485">
        <w:rPr>
          <w:sz w:val="24"/>
          <w:szCs w:val="24"/>
          <w:lang w:val="ro-MD"/>
        </w:rPr>
        <w:t xml:space="preserve">satisfacerea necesităților cetățenilor Republicii Moldova aflați peste hotare prin asigurarea bunei funcționări a serviciilor diplomatice </w:t>
      </w:r>
      <w:proofErr w:type="spellStart"/>
      <w:r w:rsidRPr="00312485">
        <w:rPr>
          <w:sz w:val="24"/>
          <w:szCs w:val="24"/>
          <w:lang w:val="ro-MD"/>
        </w:rPr>
        <w:t>şi</w:t>
      </w:r>
      <w:proofErr w:type="spellEnd"/>
      <w:r w:rsidRPr="00312485">
        <w:rPr>
          <w:sz w:val="24"/>
          <w:szCs w:val="24"/>
          <w:lang w:val="ro-MD"/>
        </w:rPr>
        <w:t xml:space="preserve"> a celor consulare;</w:t>
      </w:r>
    </w:p>
    <w:p w14:paraId="52AF17B0" w14:textId="648662B9" w:rsidR="00131042" w:rsidRPr="00312485" w:rsidRDefault="00131042" w:rsidP="00131042">
      <w:pPr>
        <w:numPr>
          <w:ilvl w:val="0"/>
          <w:numId w:val="4"/>
        </w:numPr>
        <w:ind w:left="0" w:firstLine="491"/>
        <w:rPr>
          <w:sz w:val="24"/>
          <w:szCs w:val="24"/>
          <w:lang w:val="ro-MD"/>
        </w:rPr>
      </w:pPr>
      <w:r w:rsidRPr="00312485">
        <w:rPr>
          <w:sz w:val="24"/>
          <w:szCs w:val="24"/>
          <w:lang w:val="ro-MD"/>
        </w:rPr>
        <w:t>reprezentarea Republicii Moldova în organizațiile internaționale, inclusiv prin asigurarea angajamentelor financiare în cadrul acestora.</w:t>
      </w:r>
    </w:p>
    <w:p w14:paraId="4DAC8D48" w14:textId="77777777" w:rsidR="00DB47B7" w:rsidRPr="00312485" w:rsidRDefault="00DB47B7" w:rsidP="00E75640">
      <w:pPr>
        <w:pStyle w:val="NormalWeb"/>
        <w:rPr>
          <w:b/>
          <w:bCs/>
          <w:i/>
          <w:iCs/>
          <w:lang w:val="ro-MD"/>
        </w:rPr>
      </w:pPr>
    </w:p>
    <w:p w14:paraId="22C48614" w14:textId="7302CE2D" w:rsidR="00E75640" w:rsidRPr="00312485" w:rsidRDefault="00E75640" w:rsidP="00E75640">
      <w:pPr>
        <w:pStyle w:val="NormalWeb"/>
        <w:rPr>
          <w:lang w:val="ro-MD"/>
        </w:rPr>
      </w:pPr>
      <w:r w:rsidRPr="00312485">
        <w:rPr>
          <w:b/>
          <w:bCs/>
          <w:i/>
          <w:iCs/>
          <w:lang w:val="ro-MD"/>
        </w:rPr>
        <w:t>Apărare națională (05)</w:t>
      </w:r>
    </w:p>
    <w:p w14:paraId="685862FD" w14:textId="3F145FF6" w:rsidR="00E75640" w:rsidRPr="00312485" w:rsidRDefault="00E75640" w:rsidP="00E75640">
      <w:pPr>
        <w:ind w:firstLine="567"/>
        <w:rPr>
          <w:sz w:val="24"/>
          <w:szCs w:val="24"/>
          <w:lang w:val="ro-MD"/>
        </w:rPr>
      </w:pPr>
      <w:r w:rsidRPr="00312485">
        <w:rPr>
          <w:sz w:val="24"/>
          <w:szCs w:val="24"/>
          <w:lang w:val="ro-MD"/>
        </w:rPr>
        <w:t>Republica Moldova urmează să-</w:t>
      </w:r>
      <w:proofErr w:type="spellStart"/>
      <w:r w:rsidRPr="00312485">
        <w:rPr>
          <w:sz w:val="24"/>
          <w:szCs w:val="24"/>
          <w:lang w:val="ro-MD"/>
        </w:rPr>
        <w:t>şi</w:t>
      </w:r>
      <w:proofErr w:type="spellEnd"/>
      <w:r w:rsidRPr="00312485">
        <w:rPr>
          <w:sz w:val="24"/>
          <w:szCs w:val="24"/>
          <w:lang w:val="ro-MD"/>
        </w:rPr>
        <w:t xml:space="preserve"> restructureze sistemul de apărare națională, precum </w:t>
      </w:r>
      <w:proofErr w:type="spellStart"/>
      <w:r w:rsidRPr="00312485">
        <w:rPr>
          <w:sz w:val="24"/>
          <w:szCs w:val="24"/>
          <w:lang w:val="ro-MD"/>
        </w:rPr>
        <w:t>şi</w:t>
      </w:r>
      <w:proofErr w:type="spellEnd"/>
      <w:r w:rsidRPr="00312485">
        <w:rPr>
          <w:sz w:val="24"/>
          <w:szCs w:val="24"/>
          <w:lang w:val="ro-MD"/>
        </w:rPr>
        <w:t xml:space="preserve"> sistemul de securitate per ansamblu, prin sporirea investițiilor publice în dotarea armatei naționale, prin participarea la misiuni </w:t>
      </w:r>
      <w:proofErr w:type="spellStart"/>
      <w:r w:rsidRPr="00312485">
        <w:rPr>
          <w:sz w:val="24"/>
          <w:szCs w:val="24"/>
          <w:lang w:val="ro-MD"/>
        </w:rPr>
        <w:t>şi</w:t>
      </w:r>
      <w:proofErr w:type="spellEnd"/>
      <w:r w:rsidRPr="00312485">
        <w:rPr>
          <w:sz w:val="24"/>
          <w:szCs w:val="24"/>
          <w:lang w:val="ro-MD"/>
        </w:rPr>
        <w:t xml:space="preserve"> operații internaționale, prin intensificarea cooperării </w:t>
      </w:r>
      <w:proofErr w:type="spellStart"/>
      <w:r w:rsidRPr="00312485">
        <w:rPr>
          <w:sz w:val="24"/>
          <w:szCs w:val="24"/>
          <w:lang w:val="ro-MD"/>
        </w:rPr>
        <w:t>şi</w:t>
      </w:r>
      <w:proofErr w:type="spellEnd"/>
      <w:r w:rsidRPr="00312485">
        <w:rPr>
          <w:sz w:val="24"/>
          <w:szCs w:val="24"/>
          <w:lang w:val="ro-MD"/>
        </w:rPr>
        <w:t xml:space="preserve"> a schimbului de experiență pe filiera de apărare cu partenerii strategici.</w:t>
      </w:r>
    </w:p>
    <w:p w14:paraId="21DA66D1" w14:textId="5C9019AF" w:rsidR="00E75640" w:rsidRPr="00312485" w:rsidRDefault="00E75640" w:rsidP="00E75640">
      <w:pPr>
        <w:ind w:firstLine="567"/>
        <w:rPr>
          <w:i/>
          <w:sz w:val="24"/>
          <w:szCs w:val="24"/>
          <w:lang w:val="ro-MD"/>
        </w:rPr>
      </w:pPr>
      <w:r w:rsidRPr="00312485">
        <w:rPr>
          <w:i/>
          <w:sz w:val="24"/>
          <w:szCs w:val="24"/>
          <w:lang w:val="ro-MD"/>
        </w:rPr>
        <w:lastRenderedPageBreak/>
        <w:t xml:space="preserve">Principalele măsuri </w:t>
      </w:r>
      <w:proofErr w:type="spellStart"/>
      <w:r w:rsidRPr="00312485">
        <w:rPr>
          <w:i/>
          <w:sz w:val="24"/>
          <w:szCs w:val="24"/>
          <w:lang w:val="ro-MD"/>
        </w:rPr>
        <w:t>şi</w:t>
      </w:r>
      <w:proofErr w:type="spellEnd"/>
      <w:r w:rsidRPr="00312485">
        <w:rPr>
          <w:i/>
          <w:sz w:val="24"/>
          <w:szCs w:val="24"/>
          <w:lang w:val="ro-MD"/>
        </w:rPr>
        <w:t xml:space="preserve"> acțiuni planificate pentru anii 2026-2028: </w:t>
      </w:r>
    </w:p>
    <w:p w14:paraId="4453609F" w14:textId="77777777" w:rsidR="00520CC1" w:rsidRPr="00312485" w:rsidRDefault="00867C43" w:rsidP="00CC6394">
      <w:pPr>
        <w:numPr>
          <w:ilvl w:val="0"/>
          <w:numId w:val="4"/>
        </w:numPr>
        <w:ind w:left="0" w:firstLine="491"/>
        <w:rPr>
          <w:sz w:val="24"/>
          <w:szCs w:val="24"/>
          <w:lang w:val="ro-MD"/>
        </w:rPr>
      </w:pPr>
      <w:r w:rsidRPr="00312485">
        <w:rPr>
          <w:sz w:val="24"/>
          <w:szCs w:val="24"/>
          <w:lang w:val="ro-MD"/>
        </w:rPr>
        <w:t>d</w:t>
      </w:r>
      <w:r w:rsidR="00E75640" w:rsidRPr="00312485">
        <w:rPr>
          <w:sz w:val="24"/>
          <w:szCs w:val="24"/>
          <w:lang w:val="ro-MD"/>
        </w:rPr>
        <w:t>ezvoltarea și modernizarea capacității naționale de apărare;</w:t>
      </w:r>
    </w:p>
    <w:p w14:paraId="12BBFEB1" w14:textId="77777777" w:rsidR="00520CC1" w:rsidRPr="00312485" w:rsidRDefault="00867C43" w:rsidP="00CC6394">
      <w:pPr>
        <w:numPr>
          <w:ilvl w:val="0"/>
          <w:numId w:val="4"/>
        </w:numPr>
        <w:ind w:left="0" w:firstLine="491"/>
        <w:rPr>
          <w:sz w:val="24"/>
          <w:szCs w:val="24"/>
          <w:lang w:val="ro-MD"/>
        </w:rPr>
      </w:pPr>
      <w:r w:rsidRPr="00312485">
        <w:rPr>
          <w:sz w:val="24"/>
          <w:szCs w:val="24"/>
          <w:lang w:val="ro-MD"/>
        </w:rPr>
        <w:t>s</w:t>
      </w:r>
      <w:r w:rsidR="00E75640" w:rsidRPr="00312485">
        <w:rPr>
          <w:sz w:val="24"/>
          <w:szCs w:val="24"/>
          <w:lang w:val="ro-MD"/>
        </w:rPr>
        <w:t>porirea atractivității serviciului militar;</w:t>
      </w:r>
    </w:p>
    <w:p w14:paraId="5FE595E1" w14:textId="77777777" w:rsidR="00520CC1" w:rsidRPr="00312485" w:rsidRDefault="00867C43" w:rsidP="00CC6394">
      <w:pPr>
        <w:numPr>
          <w:ilvl w:val="0"/>
          <w:numId w:val="4"/>
        </w:numPr>
        <w:ind w:left="0" w:firstLine="491"/>
        <w:rPr>
          <w:sz w:val="24"/>
          <w:szCs w:val="24"/>
          <w:lang w:val="ro-MD"/>
        </w:rPr>
      </w:pPr>
      <w:r w:rsidRPr="00312485">
        <w:rPr>
          <w:sz w:val="24"/>
          <w:szCs w:val="24"/>
          <w:lang w:val="ro-MD"/>
        </w:rPr>
        <w:t>i</w:t>
      </w:r>
      <w:r w:rsidR="00E75640" w:rsidRPr="00312485">
        <w:rPr>
          <w:sz w:val="24"/>
          <w:szCs w:val="24"/>
          <w:lang w:val="ro-MD"/>
        </w:rPr>
        <w:t>ntegrarea sistemului național de apărare în arhitectura de securitate și apărare a Uniunii Europene și aprofundarea parteneriatelor internaționale;</w:t>
      </w:r>
    </w:p>
    <w:p w14:paraId="5958E42C" w14:textId="05F69603" w:rsidR="00E75640" w:rsidRPr="00312485" w:rsidRDefault="00867C43" w:rsidP="00CC6394">
      <w:pPr>
        <w:numPr>
          <w:ilvl w:val="0"/>
          <w:numId w:val="4"/>
        </w:numPr>
        <w:ind w:left="0" w:firstLine="491"/>
        <w:rPr>
          <w:sz w:val="24"/>
          <w:szCs w:val="24"/>
          <w:lang w:val="ro-MD"/>
        </w:rPr>
      </w:pPr>
      <w:r w:rsidRPr="00312485">
        <w:rPr>
          <w:sz w:val="24"/>
          <w:szCs w:val="24"/>
          <w:lang w:val="ro-MD"/>
        </w:rPr>
        <w:t>a</w:t>
      </w:r>
      <w:r w:rsidR="00E75640" w:rsidRPr="00312485">
        <w:rPr>
          <w:sz w:val="24"/>
          <w:szCs w:val="24"/>
          <w:lang w:val="ro-MD"/>
        </w:rPr>
        <w:t xml:space="preserve">sigurarea achizițiilor multianuale de echipamente militare </w:t>
      </w:r>
      <w:proofErr w:type="spellStart"/>
      <w:r w:rsidR="00E75640" w:rsidRPr="00312485">
        <w:rPr>
          <w:sz w:val="24"/>
          <w:szCs w:val="24"/>
          <w:lang w:val="ro-MD"/>
        </w:rPr>
        <w:t>şi</w:t>
      </w:r>
      <w:proofErr w:type="spellEnd"/>
      <w:r w:rsidR="00E75640" w:rsidRPr="00312485">
        <w:rPr>
          <w:sz w:val="24"/>
          <w:szCs w:val="24"/>
          <w:lang w:val="ro-MD"/>
        </w:rPr>
        <w:t xml:space="preserve"> modernizarea infrastructurii.</w:t>
      </w:r>
    </w:p>
    <w:p w14:paraId="5694362F" w14:textId="0A692E78" w:rsidR="00C05D1A" w:rsidRPr="00312485" w:rsidRDefault="00C05D1A" w:rsidP="00796D16">
      <w:pPr>
        <w:autoSpaceDE w:val="0"/>
        <w:autoSpaceDN w:val="0"/>
        <w:adjustRightInd w:val="0"/>
        <w:ind w:firstLine="567"/>
        <w:rPr>
          <w:sz w:val="24"/>
          <w:szCs w:val="24"/>
          <w:lang w:val="ro-MD"/>
        </w:rPr>
      </w:pPr>
    </w:p>
    <w:p w14:paraId="6051BC83" w14:textId="77777777" w:rsidR="00123B3A" w:rsidRPr="00312485" w:rsidRDefault="00123B3A" w:rsidP="00123B3A">
      <w:pPr>
        <w:spacing w:line="276" w:lineRule="auto"/>
        <w:ind w:firstLine="567"/>
        <w:rPr>
          <w:sz w:val="24"/>
          <w:szCs w:val="24"/>
          <w:lang w:val="ro-MD" w:eastAsia="ro-RO"/>
        </w:rPr>
      </w:pPr>
      <w:r w:rsidRPr="00312485">
        <w:rPr>
          <w:b/>
          <w:bCs/>
          <w:i/>
          <w:iCs/>
          <w:sz w:val="24"/>
          <w:szCs w:val="24"/>
          <w:lang w:val="ro-MD" w:eastAsia="ro-RO"/>
        </w:rPr>
        <w:t>Ordine publică și securitate națională (06)</w:t>
      </w:r>
    </w:p>
    <w:p w14:paraId="74797ABE" w14:textId="77777777" w:rsidR="006F5616" w:rsidRPr="00312485" w:rsidRDefault="00123B3A" w:rsidP="006F5616">
      <w:pPr>
        <w:ind w:firstLine="567"/>
        <w:rPr>
          <w:sz w:val="24"/>
          <w:szCs w:val="24"/>
          <w:lang w:val="ro-MD"/>
        </w:rPr>
      </w:pPr>
      <w:r w:rsidRPr="00312485">
        <w:rPr>
          <w:sz w:val="24"/>
          <w:szCs w:val="24"/>
          <w:lang w:val="ro-MD"/>
        </w:rPr>
        <w:t xml:space="preserve">Guvernul și-a asumat </w:t>
      </w:r>
      <w:r w:rsidR="006F5616" w:rsidRPr="00312485">
        <w:rPr>
          <w:sz w:val="24"/>
          <w:szCs w:val="24"/>
          <w:lang w:val="ro-MD"/>
        </w:rPr>
        <w:t>modernizarea și consolidarea sistemului național de ordine și securitate publică, cu accent pe eficiență și protecția fundamentală a cetățeanului.</w:t>
      </w:r>
    </w:p>
    <w:p w14:paraId="03D9DC00" w14:textId="77777777" w:rsidR="00123B3A" w:rsidRPr="00312485" w:rsidRDefault="00123B3A" w:rsidP="00123B3A">
      <w:pPr>
        <w:ind w:firstLine="567"/>
        <w:rPr>
          <w:i/>
          <w:sz w:val="24"/>
          <w:szCs w:val="24"/>
          <w:lang w:val="ro-MD"/>
        </w:rPr>
      </w:pPr>
      <w:r w:rsidRPr="00312485">
        <w:rPr>
          <w:i/>
          <w:sz w:val="24"/>
          <w:szCs w:val="24"/>
          <w:lang w:val="ro-MD"/>
        </w:rPr>
        <w:t>Principalele măsuri și acțiuni planificate în perioada anilor 2026-2028:</w:t>
      </w:r>
    </w:p>
    <w:p w14:paraId="57D99715" w14:textId="435CD857" w:rsidR="00123B3A" w:rsidRPr="00312485" w:rsidRDefault="00541CCB" w:rsidP="00CC6394">
      <w:pPr>
        <w:numPr>
          <w:ilvl w:val="0"/>
          <w:numId w:val="4"/>
        </w:numPr>
        <w:ind w:left="0" w:firstLine="491"/>
        <w:rPr>
          <w:sz w:val="24"/>
          <w:szCs w:val="24"/>
          <w:lang w:val="ro-MD"/>
        </w:rPr>
      </w:pPr>
      <w:r w:rsidRPr="00312485">
        <w:rPr>
          <w:sz w:val="24"/>
          <w:szCs w:val="24"/>
          <w:lang w:val="ro-MD"/>
        </w:rPr>
        <w:t>f</w:t>
      </w:r>
      <w:r w:rsidR="00123B3A" w:rsidRPr="00312485">
        <w:rPr>
          <w:sz w:val="24"/>
          <w:szCs w:val="24"/>
          <w:lang w:val="ro-MD"/>
        </w:rPr>
        <w:t>ortificarea sistemului de ordine publică și securitate publică și alinierea la standardele internaționale;</w:t>
      </w:r>
    </w:p>
    <w:p w14:paraId="5185EB7A" w14:textId="79D0A968" w:rsidR="00123B3A" w:rsidRPr="00312485" w:rsidRDefault="00123B3A" w:rsidP="00CC6394">
      <w:pPr>
        <w:numPr>
          <w:ilvl w:val="0"/>
          <w:numId w:val="4"/>
        </w:numPr>
        <w:ind w:left="0" w:firstLine="491"/>
        <w:rPr>
          <w:sz w:val="24"/>
          <w:szCs w:val="24"/>
          <w:lang w:val="ro-MD"/>
        </w:rPr>
      </w:pPr>
      <w:r w:rsidRPr="00312485">
        <w:rPr>
          <w:sz w:val="24"/>
          <w:szCs w:val="24"/>
          <w:lang w:val="ro-MD"/>
        </w:rPr>
        <w:t>modernizarea capacităților de gestionare a migrației;</w:t>
      </w:r>
    </w:p>
    <w:p w14:paraId="19A781E9" w14:textId="1EAB933F" w:rsidR="00123B3A" w:rsidRPr="00312485" w:rsidRDefault="00123B3A" w:rsidP="00CC6394">
      <w:pPr>
        <w:numPr>
          <w:ilvl w:val="0"/>
          <w:numId w:val="4"/>
        </w:numPr>
        <w:ind w:left="0" w:firstLine="491"/>
        <w:rPr>
          <w:sz w:val="24"/>
          <w:szCs w:val="24"/>
          <w:lang w:val="ro-MD"/>
        </w:rPr>
      </w:pPr>
      <w:r w:rsidRPr="00312485">
        <w:rPr>
          <w:sz w:val="24"/>
          <w:szCs w:val="24"/>
          <w:lang w:val="ro-MD"/>
        </w:rPr>
        <w:t>modernizarea și extinderea infrastructurii de frontieră prin dezvoltarea punctelor de trecere și implementarea unui management integrat al frontierei aliniat la standardele UE;</w:t>
      </w:r>
    </w:p>
    <w:p w14:paraId="4A2F9246" w14:textId="41557D3C" w:rsidR="00123B3A" w:rsidRPr="00312485" w:rsidRDefault="00123B3A" w:rsidP="00CC6394">
      <w:pPr>
        <w:numPr>
          <w:ilvl w:val="0"/>
          <w:numId w:val="4"/>
        </w:numPr>
        <w:ind w:left="0" w:firstLine="491"/>
        <w:rPr>
          <w:sz w:val="24"/>
          <w:szCs w:val="24"/>
          <w:lang w:val="ro-MD"/>
        </w:rPr>
      </w:pPr>
      <w:r w:rsidRPr="00312485">
        <w:rPr>
          <w:sz w:val="24"/>
          <w:szCs w:val="24"/>
          <w:lang w:val="ro-MD"/>
        </w:rPr>
        <w:t>crearea și operaționalizarea Centrului de instruire în domeniul combaterii spălării banilor și finanțării terorismului;</w:t>
      </w:r>
    </w:p>
    <w:p w14:paraId="1E0B5DF9" w14:textId="210DBF58" w:rsidR="00123B3A" w:rsidRPr="00312485" w:rsidRDefault="00123B3A" w:rsidP="00CC6394">
      <w:pPr>
        <w:numPr>
          <w:ilvl w:val="0"/>
          <w:numId w:val="4"/>
        </w:numPr>
        <w:ind w:left="0" w:firstLine="491"/>
        <w:rPr>
          <w:sz w:val="24"/>
          <w:szCs w:val="24"/>
          <w:lang w:val="ro-MD"/>
        </w:rPr>
      </w:pPr>
      <w:r w:rsidRPr="00312485">
        <w:rPr>
          <w:sz w:val="24"/>
          <w:szCs w:val="24"/>
          <w:lang w:val="ro-MD"/>
        </w:rPr>
        <w:t>combaterea corupției la toate nivelurile de guvernare;</w:t>
      </w:r>
    </w:p>
    <w:p w14:paraId="47621ACD" w14:textId="77777777" w:rsidR="00520CC1" w:rsidRPr="00312485" w:rsidRDefault="00123B3A" w:rsidP="00CC6394">
      <w:pPr>
        <w:numPr>
          <w:ilvl w:val="0"/>
          <w:numId w:val="4"/>
        </w:numPr>
        <w:ind w:left="0" w:firstLine="491"/>
        <w:rPr>
          <w:sz w:val="24"/>
          <w:szCs w:val="24"/>
          <w:lang w:val="ro-MD"/>
        </w:rPr>
      </w:pPr>
      <w:r w:rsidRPr="00312485">
        <w:rPr>
          <w:sz w:val="24"/>
          <w:szCs w:val="24"/>
          <w:lang w:val="ro-MD"/>
        </w:rPr>
        <w:t xml:space="preserve">dezvoltarea sistemului de protecție civilă la nivel național în conformitate de standardele și politicile UE; </w:t>
      </w:r>
    </w:p>
    <w:p w14:paraId="4AF4A9DC" w14:textId="4CFE0066" w:rsidR="00123B3A" w:rsidRPr="00312485" w:rsidRDefault="00123B3A" w:rsidP="00CC6394">
      <w:pPr>
        <w:numPr>
          <w:ilvl w:val="0"/>
          <w:numId w:val="4"/>
        </w:numPr>
        <w:ind w:left="0" w:firstLine="491"/>
        <w:rPr>
          <w:sz w:val="24"/>
          <w:szCs w:val="24"/>
          <w:lang w:val="ro-MD"/>
        </w:rPr>
      </w:pPr>
      <w:r w:rsidRPr="00312485">
        <w:rPr>
          <w:sz w:val="24"/>
          <w:szCs w:val="24"/>
          <w:lang w:val="ro-MD"/>
        </w:rPr>
        <w:t>armonizarea cadrului normativ în domeniul prevenirii și combaterii traficului de ființe umane, organizarea unor programe de educare și sensibilizare.</w:t>
      </w:r>
    </w:p>
    <w:p w14:paraId="00286214" w14:textId="01C8357D" w:rsidR="00C05D1A" w:rsidRPr="00312485" w:rsidRDefault="00C05D1A" w:rsidP="00796D16">
      <w:pPr>
        <w:autoSpaceDE w:val="0"/>
        <w:autoSpaceDN w:val="0"/>
        <w:adjustRightInd w:val="0"/>
        <w:ind w:firstLine="567"/>
        <w:rPr>
          <w:sz w:val="24"/>
          <w:szCs w:val="24"/>
          <w:lang w:val="ro-MD"/>
        </w:rPr>
      </w:pPr>
    </w:p>
    <w:p w14:paraId="70B22FAD" w14:textId="77777777" w:rsidR="002C4823" w:rsidRPr="00312485" w:rsidRDefault="002C4823" w:rsidP="002C4823">
      <w:pPr>
        <w:ind w:left="709" w:hanging="142"/>
        <w:rPr>
          <w:b/>
          <w:i/>
          <w:sz w:val="24"/>
          <w:szCs w:val="24"/>
          <w:lang w:val="ro-MD"/>
        </w:rPr>
      </w:pPr>
      <w:r w:rsidRPr="00312485">
        <w:rPr>
          <w:b/>
          <w:i/>
          <w:sz w:val="24"/>
          <w:szCs w:val="24"/>
          <w:lang w:val="ro-MD"/>
        </w:rPr>
        <w:t>Justiție (07)</w:t>
      </w:r>
    </w:p>
    <w:p w14:paraId="06980E83" w14:textId="453A4566" w:rsidR="006F5616" w:rsidRPr="00312485" w:rsidRDefault="002C4823" w:rsidP="006F5616">
      <w:pPr>
        <w:ind w:firstLine="567"/>
        <w:rPr>
          <w:sz w:val="24"/>
          <w:szCs w:val="24"/>
          <w:lang w:val="ro-MD"/>
        </w:rPr>
      </w:pPr>
      <w:r w:rsidRPr="00312485">
        <w:rPr>
          <w:sz w:val="24"/>
          <w:szCs w:val="24"/>
          <w:lang w:val="ro-MD"/>
        </w:rPr>
        <w:t>Sectorul justiției este în plină reformă, orientată spre consolidarea statului de drept, combaterea corupției și asigurarea independenței instituțiilor judiciare</w:t>
      </w:r>
      <w:r w:rsidR="006F5616" w:rsidRPr="00312485">
        <w:rPr>
          <w:sz w:val="24"/>
          <w:szCs w:val="24"/>
          <w:lang w:val="ro-MD"/>
        </w:rPr>
        <w:t>, p</w:t>
      </w:r>
      <w:r w:rsidR="00875593">
        <w:rPr>
          <w:sz w:val="24"/>
          <w:szCs w:val="24"/>
          <w:lang w:val="ro-MD"/>
        </w:rPr>
        <w:t>rin introducerea unor criterii</w:t>
      </w:r>
      <w:r w:rsidR="006F5616" w:rsidRPr="00312485">
        <w:rPr>
          <w:sz w:val="24"/>
          <w:szCs w:val="24"/>
          <w:lang w:val="ro-MD"/>
        </w:rPr>
        <w:t xml:space="preserve"> de monitorizare a calității actului de justiție, pentru a asigura eficiență, transparență și justiție centrată pe cetățean. Un angajament important fiind cooperarea prin schimburi de bune practici, expertiză, digitalizare și valorificarea programelor europene de preaderare.</w:t>
      </w:r>
    </w:p>
    <w:p w14:paraId="54EA3349" w14:textId="77777777" w:rsidR="002C4823" w:rsidRPr="00312485" w:rsidRDefault="002C4823" w:rsidP="002C4823">
      <w:pPr>
        <w:ind w:firstLine="567"/>
        <w:rPr>
          <w:i/>
          <w:sz w:val="24"/>
          <w:szCs w:val="24"/>
          <w:lang w:val="ro-MD"/>
        </w:rPr>
      </w:pPr>
      <w:r w:rsidRPr="00312485">
        <w:rPr>
          <w:i/>
          <w:sz w:val="24"/>
          <w:szCs w:val="24"/>
          <w:lang w:val="ro-MD"/>
        </w:rPr>
        <w:t xml:space="preserve">Principalele măsuri și acțiuni planificate în perioada anilor 2026-2028: </w:t>
      </w:r>
    </w:p>
    <w:p w14:paraId="73C8C992"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a</w:t>
      </w:r>
      <w:r w:rsidR="002C4823" w:rsidRPr="00312485">
        <w:rPr>
          <w:sz w:val="24"/>
          <w:szCs w:val="24"/>
          <w:lang w:val="ro-MD"/>
        </w:rPr>
        <w:t>sigurarea funcționalității membrilor organelor colegiale ale profesiilor conexe sistemului justiției;</w:t>
      </w:r>
      <w:r w:rsidRPr="00312485">
        <w:rPr>
          <w:sz w:val="24"/>
          <w:szCs w:val="24"/>
          <w:lang w:val="ro-MD"/>
        </w:rPr>
        <w:t xml:space="preserve"> </w:t>
      </w:r>
    </w:p>
    <w:p w14:paraId="2342BDC0"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î</w:t>
      </w:r>
      <w:r w:rsidR="002C4823" w:rsidRPr="00312485">
        <w:rPr>
          <w:sz w:val="24"/>
          <w:szCs w:val="24"/>
          <w:lang w:val="ro-MD"/>
        </w:rPr>
        <w:t>mbunătățirea calității actului de justiție;</w:t>
      </w:r>
    </w:p>
    <w:p w14:paraId="1EF48756"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d</w:t>
      </w:r>
      <w:r w:rsidR="002C4823" w:rsidRPr="00312485">
        <w:rPr>
          <w:sz w:val="24"/>
          <w:szCs w:val="24"/>
          <w:lang w:val="ro-MD"/>
        </w:rPr>
        <w:t>igitalizarea proceselor  în sectorul justiției;</w:t>
      </w:r>
    </w:p>
    <w:p w14:paraId="3968C994"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f</w:t>
      </w:r>
      <w:r w:rsidR="002C4823" w:rsidRPr="00312485">
        <w:rPr>
          <w:sz w:val="24"/>
          <w:szCs w:val="24"/>
          <w:lang w:val="ro-MD"/>
        </w:rPr>
        <w:t>inalizarea procesului de evaluare externă a judecătorilor și procurorilor;</w:t>
      </w:r>
    </w:p>
    <w:p w14:paraId="4F567028"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e</w:t>
      </w:r>
      <w:r w:rsidR="002C4823" w:rsidRPr="00312485">
        <w:rPr>
          <w:sz w:val="24"/>
          <w:szCs w:val="24"/>
          <w:lang w:val="ro-MD"/>
        </w:rPr>
        <w:t>ficientizarea activității procuraturilor specializate;</w:t>
      </w:r>
    </w:p>
    <w:p w14:paraId="6AF328DE"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c</w:t>
      </w:r>
      <w:r w:rsidR="002C4823" w:rsidRPr="00312485">
        <w:rPr>
          <w:sz w:val="24"/>
          <w:szCs w:val="24"/>
          <w:lang w:val="ro-MD"/>
        </w:rPr>
        <w:t>reșterea accesibilității populației la serviciile de asistență juridică garantată de stat;</w:t>
      </w:r>
    </w:p>
    <w:p w14:paraId="40BE3EDD" w14:textId="30F4C581" w:rsidR="002C4823" w:rsidRPr="00312485" w:rsidRDefault="00520CC1" w:rsidP="00CC6394">
      <w:pPr>
        <w:numPr>
          <w:ilvl w:val="0"/>
          <w:numId w:val="4"/>
        </w:numPr>
        <w:ind w:left="0" w:firstLine="491"/>
        <w:rPr>
          <w:sz w:val="24"/>
          <w:szCs w:val="24"/>
          <w:lang w:val="ro-MD"/>
        </w:rPr>
      </w:pPr>
      <w:r w:rsidRPr="00312485">
        <w:rPr>
          <w:sz w:val="24"/>
          <w:szCs w:val="24"/>
          <w:lang w:val="ro-MD"/>
        </w:rPr>
        <w:t>s</w:t>
      </w:r>
      <w:r w:rsidR="002C4823" w:rsidRPr="00312485">
        <w:rPr>
          <w:sz w:val="24"/>
          <w:szCs w:val="24"/>
          <w:lang w:val="ro-MD"/>
        </w:rPr>
        <w:t>porirea continuă a calității formării inițiale a candidaților la funcții de judecător și procuror dar și a formării continue.</w:t>
      </w:r>
    </w:p>
    <w:p w14:paraId="3BDFE58C" w14:textId="77777777" w:rsidR="000D4B3B" w:rsidRPr="00312485" w:rsidRDefault="000D4B3B" w:rsidP="00F86790">
      <w:pPr>
        <w:ind w:left="709" w:hanging="142"/>
        <w:rPr>
          <w:b/>
          <w:i/>
          <w:sz w:val="24"/>
          <w:szCs w:val="24"/>
          <w:lang w:val="ro-MD"/>
        </w:rPr>
      </w:pPr>
    </w:p>
    <w:p w14:paraId="276B8FC9" w14:textId="0E610A96" w:rsidR="00F86790" w:rsidRPr="00312485" w:rsidRDefault="00F86790" w:rsidP="00F86790">
      <w:pPr>
        <w:ind w:left="709" w:hanging="142"/>
        <w:rPr>
          <w:b/>
          <w:i/>
          <w:sz w:val="24"/>
          <w:szCs w:val="24"/>
          <w:lang w:val="ro-MD"/>
        </w:rPr>
      </w:pPr>
      <w:r w:rsidRPr="00312485">
        <w:rPr>
          <w:b/>
          <w:i/>
          <w:sz w:val="24"/>
          <w:szCs w:val="24"/>
          <w:lang w:val="ro-MD"/>
        </w:rPr>
        <w:t>Penitenciare (08)</w:t>
      </w:r>
    </w:p>
    <w:p w14:paraId="1DE7E184" w14:textId="77777777" w:rsidR="00D47A3B" w:rsidRPr="00312485" w:rsidRDefault="00D47A3B" w:rsidP="00D47A3B">
      <w:pPr>
        <w:ind w:firstLine="567"/>
        <w:rPr>
          <w:sz w:val="24"/>
          <w:szCs w:val="24"/>
          <w:lang w:val="ro-MD"/>
        </w:rPr>
      </w:pPr>
      <w:r w:rsidRPr="00312485">
        <w:rPr>
          <w:sz w:val="24"/>
          <w:szCs w:val="24"/>
          <w:lang w:val="ro-MD"/>
        </w:rPr>
        <w:t xml:space="preserve">Sectorul penitenciar și sistemul de probațiune se află într-un proces de modernizare, vizând alinierea condițiilor de detenție la standardele europene și respectarea drepturilor omului. Republica Moldova își propune modernizarea infrastructurii prin construcția unui nou penitenciar la Chișinău cu sisteme de securitate avansate. Menirea acestui sector este de a asigura siguranța publică, de a sancționa faptele penale în mod legal și de a contribui la </w:t>
      </w:r>
      <w:r w:rsidRPr="00312485">
        <w:rPr>
          <w:sz w:val="24"/>
          <w:szCs w:val="24"/>
          <w:lang w:val="ro-MD"/>
        </w:rPr>
        <w:lastRenderedPageBreak/>
        <w:t>reabilitarea persoanelor private de libertate, pentru a reduce recidiva și a sprijini coeziunea socială.</w:t>
      </w:r>
    </w:p>
    <w:p w14:paraId="64BAA0F6" w14:textId="338C2234" w:rsidR="00F86790" w:rsidRPr="00312485" w:rsidRDefault="00F86790" w:rsidP="00F86790">
      <w:pPr>
        <w:ind w:firstLine="567"/>
        <w:rPr>
          <w:i/>
          <w:sz w:val="24"/>
          <w:szCs w:val="24"/>
          <w:lang w:val="ro-MD"/>
        </w:rPr>
      </w:pPr>
      <w:r w:rsidRPr="00312485">
        <w:rPr>
          <w:i/>
          <w:sz w:val="24"/>
          <w:szCs w:val="24"/>
          <w:lang w:val="ro-MD"/>
        </w:rPr>
        <w:t>Principalele măsuri și acțiuni planificate în perioada anilor 202</w:t>
      </w:r>
      <w:r w:rsidR="00221AE5">
        <w:rPr>
          <w:i/>
          <w:sz w:val="24"/>
          <w:szCs w:val="24"/>
          <w:lang w:val="ro-MD"/>
        </w:rPr>
        <w:t>6</w:t>
      </w:r>
      <w:r w:rsidRPr="00312485">
        <w:rPr>
          <w:i/>
          <w:sz w:val="24"/>
          <w:szCs w:val="24"/>
          <w:lang w:val="ro-MD"/>
        </w:rPr>
        <w:t>-202</w:t>
      </w:r>
      <w:r w:rsidR="00221AE5">
        <w:rPr>
          <w:i/>
          <w:sz w:val="24"/>
          <w:szCs w:val="24"/>
          <w:lang w:val="ro-MD"/>
        </w:rPr>
        <w:t>8</w:t>
      </w:r>
      <w:r w:rsidRPr="00312485">
        <w:rPr>
          <w:i/>
          <w:sz w:val="24"/>
          <w:szCs w:val="24"/>
          <w:lang w:val="ro-MD"/>
        </w:rPr>
        <w:t xml:space="preserve">: </w:t>
      </w:r>
    </w:p>
    <w:p w14:paraId="64A8BEFD" w14:textId="77777777" w:rsidR="00520CC1" w:rsidRPr="00312485" w:rsidRDefault="00520CC1" w:rsidP="00CC6394">
      <w:pPr>
        <w:numPr>
          <w:ilvl w:val="0"/>
          <w:numId w:val="4"/>
        </w:numPr>
        <w:ind w:left="0" w:firstLine="491"/>
        <w:rPr>
          <w:sz w:val="24"/>
          <w:szCs w:val="24"/>
          <w:lang w:val="ro-MD"/>
        </w:rPr>
      </w:pPr>
      <w:r w:rsidRPr="00312485">
        <w:rPr>
          <w:sz w:val="24"/>
          <w:szCs w:val="24"/>
          <w:lang w:val="ro-MD"/>
        </w:rPr>
        <w:t>i</w:t>
      </w:r>
      <w:r w:rsidR="00F86790" w:rsidRPr="00312485">
        <w:rPr>
          <w:sz w:val="24"/>
          <w:szCs w:val="24"/>
          <w:lang w:val="ro-MD"/>
        </w:rPr>
        <w:t>nstituirea unui sistem progresiv și individualizat de executare a pedepselor penale privative și neprivative de libertate;</w:t>
      </w:r>
    </w:p>
    <w:p w14:paraId="0856D1A3" w14:textId="77777777" w:rsidR="00520CC1" w:rsidRPr="00312485" w:rsidRDefault="00A42972" w:rsidP="00CC6394">
      <w:pPr>
        <w:numPr>
          <w:ilvl w:val="0"/>
          <w:numId w:val="4"/>
        </w:numPr>
        <w:ind w:left="0" w:firstLine="491"/>
        <w:rPr>
          <w:sz w:val="24"/>
          <w:szCs w:val="24"/>
          <w:lang w:val="ro-MD"/>
        </w:rPr>
      </w:pPr>
      <w:r w:rsidRPr="00312485">
        <w:rPr>
          <w:sz w:val="24"/>
          <w:szCs w:val="24"/>
          <w:lang w:val="ro-MD"/>
        </w:rPr>
        <w:t>g</w:t>
      </w:r>
      <w:r w:rsidR="00F86790" w:rsidRPr="00312485">
        <w:rPr>
          <w:sz w:val="24"/>
          <w:szCs w:val="24"/>
          <w:lang w:val="ro-MD"/>
        </w:rPr>
        <w:t>arantarea ordinii și siguranței în sistemul penitenciar prin consolidarea capacităților de dotare cu mijloace speciale de apărare și echipament;</w:t>
      </w:r>
    </w:p>
    <w:p w14:paraId="251F1683" w14:textId="77777777" w:rsidR="00520CC1" w:rsidRPr="00312485" w:rsidRDefault="00A42972" w:rsidP="00CC6394">
      <w:pPr>
        <w:numPr>
          <w:ilvl w:val="0"/>
          <w:numId w:val="4"/>
        </w:numPr>
        <w:ind w:left="0" w:firstLine="491"/>
        <w:rPr>
          <w:sz w:val="24"/>
          <w:szCs w:val="24"/>
          <w:lang w:val="ro-MD"/>
        </w:rPr>
      </w:pPr>
      <w:r w:rsidRPr="00312485">
        <w:rPr>
          <w:sz w:val="24"/>
          <w:szCs w:val="24"/>
          <w:lang w:val="ro-MD"/>
        </w:rPr>
        <w:t>î</w:t>
      </w:r>
      <w:r w:rsidR="00F86790" w:rsidRPr="00312485">
        <w:rPr>
          <w:sz w:val="24"/>
          <w:szCs w:val="24"/>
          <w:lang w:val="ro-MD"/>
        </w:rPr>
        <w:t>mbunătățirea condițiilor de detenție pentru condamnați conform standardelor internaționale și modernizarea infrastructurii sistemului administrației penitenciare, asigurându-se implementarea Proiectului „Construcția penitenciarului din Chișinău”, care are drept scop înlocuirea Penitenciarului nr.13, care se află într-o stare degradată;</w:t>
      </w:r>
    </w:p>
    <w:p w14:paraId="18F1B819" w14:textId="01729C00" w:rsidR="00F86790" w:rsidRPr="00312485" w:rsidRDefault="00A42972" w:rsidP="00CC6394">
      <w:pPr>
        <w:numPr>
          <w:ilvl w:val="0"/>
          <w:numId w:val="4"/>
        </w:numPr>
        <w:ind w:left="0" w:firstLine="491"/>
        <w:rPr>
          <w:sz w:val="24"/>
          <w:szCs w:val="24"/>
          <w:lang w:val="ro-MD"/>
        </w:rPr>
      </w:pPr>
      <w:r w:rsidRPr="00312485">
        <w:rPr>
          <w:sz w:val="24"/>
          <w:szCs w:val="24"/>
          <w:lang w:val="ro-MD"/>
        </w:rPr>
        <w:t>a</w:t>
      </w:r>
      <w:r w:rsidR="00F86790" w:rsidRPr="00312485">
        <w:rPr>
          <w:sz w:val="24"/>
          <w:szCs w:val="24"/>
          <w:lang w:val="ro-MD"/>
        </w:rPr>
        <w:t>cordarea serviciilor medicale de calitate pentru persoanele private de libertate și îmbunătățirea hranei/meniurilor zilnice.</w:t>
      </w:r>
    </w:p>
    <w:p w14:paraId="1D568B49" w14:textId="77777777" w:rsidR="00541CCB" w:rsidRPr="00312485" w:rsidRDefault="00541CCB" w:rsidP="00541CCB">
      <w:pPr>
        <w:ind w:left="709" w:hanging="142"/>
        <w:rPr>
          <w:b/>
          <w:i/>
          <w:sz w:val="24"/>
          <w:szCs w:val="24"/>
          <w:lang w:val="ro-MD"/>
        </w:rPr>
      </w:pPr>
    </w:p>
    <w:p w14:paraId="1C2A3102" w14:textId="77777777" w:rsidR="00541CCB" w:rsidRPr="00312485" w:rsidRDefault="00541CCB" w:rsidP="00541CCB">
      <w:pPr>
        <w:ind w:left="709" w:hanging="142"/>
        <w:rPr>
          <w:b/>
          <w:i/>
          <w:sz w:val="24"/>
          <w:szCs w:val="24"/>
          <w:lang w:val="ro-MD"/>
        </w:rPr>
      </w:pPr>
      <w:r w:rsidRPr="00312485">
        <w:rPr>
          <w:b/>
          <w:i/>
          <w:sz w:val="24"/>
          <w:szCs w:val="24"/>
          <w:lang w:val="ro-MD"/>
        </w:rPr>
        <w:t>Servicii economice generale (09)</w:t>
      </w:r>
    </w:p>
    <w:p w14:paraId="19A6EA21" w14:textId="593E1D11" w:rsidR="00541CCB" w:rsidRPr="00312485" w:rsidRDefault="00541CCB" w:rsidP="00541CCB">
      <w:pPr>
        <w:ind w:firstLine="567"/>
        <w:rPr>
          <w:sz w:val="24"/>
          <w:szCs w:val="24"/>
          <w:lang w:val="ro-MD"/>
        </w:rPr>
      </w:pPr>
      <w:r w:rsidRPr="00312485">
        <w:rPr>
          <w:sz w:val="24"/>
          <w:szCs w:val="24"/>
          <w:lang w:val="ro-MD"/>
        </w:rPr>
        <w:t>Prin acest domeniu se urmărește îmbunătățirea mediului de afaceri</w:t>
      </w:r>
      <w:r w:rsidR="0057131B" w:rsidRPr="00312485">
        <w:rPr>
          <w:sz w:val="24"/>
          <w:szCs w:val="24"/>
          <w:lang w:val="ro-MD"/>
        </w:rPr>
        <w:t xml:space="preserve"> și </w:t>
      </w:r>
      <w:r w:rsidRPr="00312485">
        <w:rPr>
          <w:sz w:val="24"/>
          <w:szCs w:val="24"/>
          <w:lang w:val="ro-MD"/>
        </w:rPr>
        <w:t>infrastructurii economice, orientarea spre transformarea digitală</w:t>
      </w:r>
      <w:r w:rsidR="0057131B" w:rsidRPr="00312485">
        <w:rPr>
          <w:sz w:val="24"/>
          <w:szCs w:val="24"/>
          <w:lang w:val="ro-MD"/>
        </w:rPr>
        <w:t xml:space="preserve"> pentru a spori transparența și accesibilitatea</w:t>
      </w:r>
      <w:r w:rsidRPr="00312485">
        <w:rPr>
          <w:sz w:val="24"/>
          <w:szCs w:val="24"/>
          <w:lang w:val="ro-MD"/>
        </w:rPr>
        <w:t xml:space="preserve">, precum și consolidarea mediului concurențial și a dezvoltării rurale, cu scopul de a stimula dezvoltarea economică și bunăstarea cetățenilor. </w:t>
      </w:r>
    </w:p>
    <w:p w14:paraId="3370A3A5" w14:textId="0E483720" w:rsidR="00541CCB" w:rsidRPr="00312485" w:rsidRDefault="00541CCB" w:rsidP="00541CCB">
      <w:pPr>
        <w:ind w:firstLine="567"/>
        <w:rPr>
          <w:sz w:val="24"/>
          <w:szCs w:val="24"/>
          <w:lang w:val="ro-MD"/>
        </w:rPr>
      </w:pPr>
      <w:r w:rsidRPr="00312485">
        <w:rPr>
          <w:rFonts w:eastAsia="Calibri"/>
          <w:sz w:val="24"/>
          <w:szCs w:val="24"/>
          <w:lang w:val="ro-MD"/>
        </w:rPr>
        <w:t>Susținerea dezvoltării sectorului privat este unul dintre obiectivele fundamentale ale Guvernului, înscrise în principalele documente de dezvoltare strategică a țării.</w:t>
      </w:r>
      <w:r w:rsidRPr="00312485">
        <w:rPr>
          <w:sz w:val="24"/>
          <w:szCs w:val="24"/>
          <w:lang w:val="ro-MD"/>
        </w:rPr>
        <w:t xml:space="preserve"> Respectiv, scopul este de a implementa </w:t>
      </w:r>
      <w:r w:rsidRPr="00312485">
        <w:rPr>
          <w:i/>
          <w:sz w:val="24"/>
          <w:szCs w:val="24"/>
          <w:lang w:val="ro-MD"/>
        </w:rPr>
        <w:t>politicile de reformă în Planul de creștere</w:t>
      </w:r>
      <w:r w:rsidRPr="00312485">
        <w:rPr>
          <w:sz w:val="24"/>
          <w:szCs w:val="24"/>
          <w:lang w:val="ro-MD"/>
        </w:rPr>
        <w:t xml:space="preserve"> care să permită majorarea și consolidarea investițiilor în afaceri, în special în sectorul producției și în serviciile cu valoare adăugată. În vederea susținerii întreprinderilor cu potențial de export, Guvernul își propune să implementeze și să dezvolte noi măsuri de susținere a afacerilor în scopul extinderii acestora și majorării veniturilor în buget. </w:t>
      </w:r>
    </w:p>
    <w:p w14:paraId="0342B881" w14:textId="77777777" w:rsidR="00541CCB" w:rsidRPr="00312485" w:rsidRDefault="00541CCB" w:rsidP="00541CCB">
      <w:pPr>
        <w:tabs>
          <w:tab w:val="left" w:pos="403"/>
        </w:tabs>
        <w:ind w:firstLine="567"/>
        <w:rPr>
          <w:rFonts w:eastAsia="Calibri"/>
          <w:bCs/>
          <w:i/>
          <w:sz w:val="24"/>
          <w:szCs w:val="24"/>
          <w:lang w:val="ro-MD"/>
        </w:rPr>
      </w:pPr>
      <w:r w:rsidRPr="00312485">
        <w:rPr>
          <w:rFonts w:eastAsia="Calibri"/>
          <w:bCs/>
          <w:i/>
          <w:sz w:val="24"/>
          <w:szCs w:val="24"/>
          <w:lang w:val="ro-MD"/>
        </w:rPr>
        <w:t xml:space="preserve">Principalele priorități și acțiuni planificate pentru anii 2026-2028: </w:t>
      </w:r>
    </w:p>
    <w:p w14:paraId="31ACCBE3" w14:textId="758013FF"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 xml:space="preserve">îmbunătățirea competitivității mediului antreprenorial prin consolidarea cadrului normativ de reglementare a activității întreprinderilor mici și mijlocii (IMM) și diversificarea potențialului de export a producătorilor autohtoni; </w:t>
      </w:r>
    </w:p>
    <w:p w14:paraId="4D167E96" w14:textId="77777777"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 xml:space="preserve">îmbunătățirea culturii și abilităților antreprenoriale, sporirea accesului întreprinderilor la resurse financiare împrumutate; </w:t>
      </w:r>
    </w:p>
    <w:p w14:paraId="73031708" w14:textId="4B8D8F52"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 xml:space="preserve">dezvoltarea schemei de ajutor de stat pentru investiții alineate la normele UE cu privire la concurență; </w:t>
      </w:r>
    </w:p>
    <w:p w14:paraId="5897863D" w14:textId="77777777"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 xml:space="preserve">digitalizarea IMM–urilor prin sporirea accesului la finanțare, consolidarea infrastructurii calității, precum și implementarea măsurilor de eficiență energetică a IMM-urilor; </w:t>
      </w:r>
    </w:p>
    <w:p w14:paraId="4805C793" w14:textId="07363B82"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 xml:space="preserve">dezvoltarea platformelor industriale multifuncționale și specializare inteligentă, crearea locurilor de muncă, stimularea antreprenorialului feminin și promovarea implicării tinerilor în afaceri, investirea remitențelor și reducerea fenomenului imigraționist, dezvoltarea durabilă și economia verde, precum și promovarea internaționalizării IMM;   </w:t>
      </w:r>
    </w:p>
    <w:p w14:paraId="20C61E15" w14:textId="77777777" w:rsidR="00541CCB" w:rsidRPr="00312485" w:rsidRDefault="00541CCB" w:rsidP="00CC6394">
      <w:pPr>
        <w:numPr>
          <w:ilvl w:val="0"/>
          <w:numId w:val="4"/>
        </w:numPr>
        <w:ind w:left="0" w:firstLine="491"/>
        <w:rPr>
          <w:rFonts w:eastAsia="Calibri"/>
          <w:sz w:val="24"/>
          <w:szCs w:val="24"/>
          <w:lang w:val="ro-MD"/>
        </w:rPr>
      </w:pPr>
      <w:r w:rsidRPr="00312485">
        <w:rPr>
          <w:sz w:val="24"/>
          <w:szCs w:val="24"/>
          <w:lang w:val="ro-MD"/>
        </w:rPr>
        <w:t>programul de retehnologizare a întreprinderilor mici și mijlocii, precum și  integrarea de soluții tehnologice moderne prin sporirea accesului la finanțare pentru ÎMM-uri, inclusiv cele care facilitează măsurile de tranziție verde;</w:t>
      </w:r>
    </w:p>
    <w:p w14:paraId="6B7CD0A3" w14:textId="77777777" w:rsidR="00541CCB" w:rsidRPr="00312485" w:rsidRDefault="00541CCB" w:rsidP="00CC6394">
      <w:pPr>
        <w:numPr>
          <w:ilvl w:val="0"/>
          <w:numId w:val="4"/>
        </w:numPr>
        <w:ind w:left="0" w:firstLine="491"/>
        <w:rPr>
          <w:sz w:val="24"/>
          <w:szCs w:val="24"/>
          <w:lang w:val="ro-MD"/>
        </w:rPr>
      </w:pPr>
      <w:r w:rsidRPr="00312485">
        <w:rPr>
          <w:sz w:val="24"/>
          <w:szCs w:val="24"/>
          <w:lang w:val="ro-MD"/>
        </w:rPr>
        <w:t>programul de subvenționare a locurilor de muncă, pentru susținerea angajării în câmpul muncii a persoanelor cu dizabilități și a persoanelor aflate în șomaj;</w:t>
      </w:r>
    </w:p>
    <w:p w14:paraId="2E5CE238" w14:textId="77777777" w:rsidR="00541CCB" w:rsidRPr="00312485" w:rsidRDefault="00541CCB" w:rsidP="00CC6394">
      <w:pPr>
        <w:pStyle w:val="Listparagraf"/>
        <w:numPr>
          <w:ilvl w:val="0"/>
          <w:numId w:val="4"/>
        </w:numPr>
        <w:ind w:left="0" w:firstLine="491"/>
        <w:rPr>
          <w:sz w:val="24"/>
          <w:szCs w:val="24"/>
          <w:lang w:val="ro-MD"/>
        </w:rPr>
      </w:pPr>
      <w:r w:rsidRPr="00312485">
        <w:rPr>
          <w:sz w:val="24"/>
          <w:szCs w:val="24"/>
          <w:lang w:val="ro-MD"/>
        </w:rPr>
        <w:t>proiectul „Competitivitatea întreprinderilor micro, mici și mijlocii (ÎMMM)” – pentru consolidarea capacității Fondului de garantare a creditelor, eficientizarea serviciilor de afaceri prin digitalizare, creșterea competitivității la export a întreprinderilor micro, mici și mijlocii;</w:t>
      </w:r>
    </w:p>
    <w:p w14:paraId="030118AD" w14:textId="77777777" w:rsidR="002B132E" w:rsidRDefault="002B132E" w:rsidP="00541CCB">
      <w:pPr>
        <w:ind w:firstLine="491"/>
        <w:rPr>
          <w:i/>
          <w:sz w:val="24"/>
          <w:szCs w:val="24"/>
          <w:lang w:val="ro-MD"/>
        </w:rPr>
      </w:pPr>
    </w:p>
    <w:p w14:paraId="3C5F527D" w14:textId="70D3A8D6" w:rsidR="00541CCB" w:rsidRPr="00312485" w:rsidRDefault="00541CCB" w:rsidP="00541CCB">
      <w:pPr>
        <w:ind w:firstLine="491"/>
        <w:rPr>
          <w:i/>
          <w:sz w:val="24"/>
          <w:szCs w:val="24"/>
          <w:lang w:val="ro-MD"/>
        </w:rPr>
      </w:pPr>
      <w:r w:rsidRPr="00312485">
        <w:rPr>
          <w:i/>
          <w:sz w:val="24"/>
          <w:szCs w:val="24"/>
          <w:lang w:val="ro-MD"/>
        </w:rPr>
        <w:lastRenderedPageBreak/>
        <w:t xml:space="preserve">În contextul măsurilor și acțiunilor planificate pentru anii 2026-2028 se propun a fi implementate prin:  </w:t>
      </w:r>
    </w:p>
    <w:p w14:paraId="2FEC5E93" w14:textId="4770540F"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finalizarea evaluării principalelor instrumente ale ODA privind accesul la finanțare bancară, îmbunătățirea procedurilor interne a Fondului de garantare a creditelor. De asemenea Guvernul s-a angajat să introducă 2 instrumente noi în cadrul Fondului de garantare a creditelor al ODA, consolidând capacitățile de împrumut ale ÎMM-urilor, ce vizează, în special, ÎMM-urile orientate spre export și 2 noi programe în cadrul Fondului pentru </w:t>
      </w:r>
      <w:proofErr w:type="spellStart"/>
      <w:r w:rsidR="00CF5CBB" w:rsidRPr="00312485">
        <w:rPr>
          <w:sz w:val="24"/>
          <w:szCs w:val="24"/>
          <w:lang w:val="ro-MD" w:eastAsia="ru-RU"/>
        </w:rPr>
        <w:t>antreprenoriat</w:t>
      </w:r>
      <w:proofErr w:type="spellEnd"/>
      <w:r w:rsidRPr="00312485">
        <w:rPr>
          <w:sz w:val="24"/>
          <w:szCs w:val="24"/>
          <w:lang w:val="ro-MD" w:eastAsia="ru-RU"/>
        </w:rPr>
        <w:t xml:space="preserve"> și creștere economică a Moldovei (FACEM), pentru a permite asigurarea unei game mai largi de instrumente de acces la finanțare și prestarea serviciilor de consultanță pentru ÎMM-uri;    </w:t>
      </w:r>
    </w:p>
    <w:p w14:paraId="19F50D17" w14:textId="14416DB4"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se așteaptă ca cel puțin 10 companii să beneficieze de noua schemă de ajutor de </w:t>
      </w:r>
      <w:r w:rsidR="00437B9A">
        <w:rPr>
          <w:sz w:val="24"/>
          <w:szCs w:val="24"/>
          <w:lang w:val="ro-MD" w:eastAsia="ru-RU"/>
        </w:rPr>
        <w:t>stat aliniată la standardele UE</w:t>
      </w:r>
      <w:r w:rsidRPr="00312485">
        <w:rPr>
          <w:sz w:val="24"/>
          <w:szCs w:val="24"/>
          <w:lang w:val="ro-MD" w:eastAsia="ru-RU"/>
        </w:rPr>
        <w:t>;</w:t>
      </w:r>
    </w:p>
    <w:p w14:paraId="6903DD1B" w14:textId="40965362"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vor fi create și operaționalizate 4 platforme industriale multifuncționale (PIM) în conformitate cu Programul Național de Industrializare și 14 companii rezidente se vor alătură platformelor crea</w:t>
      </w:r>
      <w:r w:rsidR="008959B2" w:rsidRPr="00312485">
        <w:rPr>
          <w:sz w:val="24"/>
          <w:szCs w:val="24"/>
          <w:lang w:val="ro-MD" w:eastAsia="ru-RU"/>
        </w:rPr>
        <w:t>te.</w:t>
      </w:r>
    </w:p>
    <w:p w14:paraId="54464606" w14:textId="77777777" w:rsidR="00541CCB" w:rsidRPr="00312485" w:rsidRDefault="00541CCB" w:rsidP="00541CCB">
      <w:pPr>
        <w:ind w:firstLine="491"/>
        <w:rPr>
          <w:sz w:val="24"/>
          <w:szCs w:val="24"/>
          <w:lang w:val="ro-MD"/>
        </w:rPr>
      </w:pPr>
    </w:p>
    <w:p w14:paraId="26F93FA1" w14:textId="77777777" w:rsidR="00541CCB" w:rsidRPr="00312485" w:rsidRDefault="00541CCB" w:rsidP="00541CCB">
      <w:pPr>
        <w:ind w:left="709" w:hanging="142"/>
        <w:rPr>
          <w:b/>
          <w:i/>
          <w:sz w:val="24"/>
          <w:szCs w:val="24"/>
          <w:lang w:val="ro-MD"/>
        </w:rPr>
      </w:pPr>
      <w:r w:rsidRPr="00312485">
        <w:rPr>
          <w:b/>
          <w:i/>
          <w:sz w:val="24"/>
          <w:szCs w:val="24"/>
          <w:lang w:val="ro-MD"/>
        </w:rPr>
        <w:t>Agricultura (10)</w:t>
      </w:r>
    </w:p>
    <w:p w14:paraId="0FD1941C" w14:textId="70729D1E" w:rsidR="00541CCB" w:rsidRPr="00312485" w:rsidRDefault="00541CCB" w:rsidP="0057131B">
      <w:pPr>
        <w:tabs>
          <w:tab w:val="left" w:pos="403"/>
        </w:tabs>
        <w:ind w:firstLine="567"/>
        <w:rPr>
          <w:rFonts w:eastAsia="Calibri"/>
          <w:sz w:val="24"/>
          <w:szCs w:val="24"/>
          <w:lang w:val="ro-MD"/>
        </w:rPr>
      </w:pPr>
      <w:r w:rsidRPr="00312485">
        <w:rPr>
          <w:rFonts w:eastAsia="Calibri"/>
          <w:sz w:val="24"/>
          <w:szCs w:val="24"/>
          <w:lang w:val="ro-MD"/>
        </w:rPr>
        <w:t xml:space="preserve">Agricultura în Republica Moldova este o activitate volatilă și foarte expusă riscurilor, fiind susceptibilă la factorii naturali, cum ar fi seceta, înghețurile, și deseori inundațiile, eroziunile și căderile de grindină. </w:t>
      </w:r>
      <w:r w:rsidR="0057131B" w:rsidRPr="00312485">
        <w:rPr>
          <w:rFonts w:eastAsia="Calibri"/>
          <w:sz w:val="24"/>
          <w:szCs w:val="24"/>
          <w:lang w:val="ro-MD"/>
        </w:rPr>
        <w:t xml:space="preserve">Astfel, se pregătește introducerea unui Program strategic al Politicii agricole 2025-2030, pentru dezvoltarea unui sector agricol modern, competitiv, </w:t>
      </w:r>
      <w:proofErr w:type="spellStart"/>
      <w:r w:rsidR="0057131B" w:rsidRPr="00312485">
        <w:rPr>
          <w:rFonts w:eastAsia="Calibri"/>
          <w:sz w:val="24"/>
          <w:szCs w:val="24"/>
          <w:lang w:val="ro-MD"/>
        </w:rPr>
        <w:t>rezilient</w:t>
      </w:r>
      <w:proofErr w:type="spellEnd"/>
      <w:r w:rsidR="0057131B" w:rsidRPr="00312485">
        <w:rPr>
          <w:rFonts w:eastAsia="Calibri"/>
          <w:sz w:val="24"/>
          <w:szCs w:val="24"/>
          <w:lang w:val="ro-MD"/>
        </w:rPr>
        <w:t xml:space="preserve"> și diversificat, care să asigure o producție de înaltă calitate, utilizare eficientă a resurselor în contextul schimbărilor climatice, și să asigure securitatea alimentară ca parte a unui sector agroalimentar competitiv și productiv. Totodată, se propune extinderea instrumentelor de gestionare a riscurilor</w:t>
      </w:r>
      <w:r w:rsidR="0057131B" w:rsidRPr="00312485">
        <w:rPr>
          <w:sz w:val="24"/>
          <w:szCs w:val="24"/>
          <w:lang w:val="ro-MD"/>
        </w:rPr>
        <w:t xml:space="preserve"> prin consolidarea cadrului instituțional administrativ și de reglementare agricol al Republicii Moldova </w:t>
      </w:r>
      <w:r w:rsidR="0057131B" w:rsidRPr="00312485">
        <w:rPr>
          <w:rFonts w:eastAsia="Calibri"/>
          <w:sz w:val="24"/>
          <w:szCs w:val="24"/>
          <w:lang w:val="ro-MD"/>
        </w:rPr>
        <w:t>în conformitate cu standardele UE.</w:t>
      </w:r>
      <w:r w:rsidRPr="00312485">
        <w:rPr>
          <w:rFonts w:eastAsia="Calibri"/>
          <w:sz w:val="24"/>
          <w:szCs w:val="24"/>
          <w:lang w:val="ro-MD"/>
        </w:rPr>
        <w:t xml:space="preserve"> </w:t>
      </w:r>
    </w:p>
    <w:p w14:paraId="762BA958" w14:textId="77777777" w:rsidR="00541CCB" w:rsidRPr="00312485" w:rsidRDefault="00541CCB" w:rsidP="00541CCB">
      <w:pPr>
        <w:tabs>
          <w:tab w:val="left" w:pos="403"/>
        </w:tabs>
        <w:ind w:firstLine="630"/>
        <w:rPr>
          <w:rFonts w:eastAsia="Calibri"/>
          <w:bCs/>
          <w:i/>
          <w:sz w:val="24"/>
          <w:szCs w:val="24"/>
          <w:lang w:val="ro-MD"/>
        </w:rPr>
      </w:pPr>
      <w:r w:rsidRPr="00312485">
        <w:rPr>
          <w:rFonts w:eastAsia="Calibri"/>
          <w:bCs/>
          <w:i/>
          <w:sz w:val="24"/>
          <w:szCs w:val="24"/>
          <w:lang w:val="ro-MD"/>
        </w:rPr>
        <w:t xml:space="preserve">Principalele priorități și acțiuni planificate pentru anii 2026-2028: </w:t>
      </w:r>
    </w:p>
    <w:p w14:paraId="040C977F" w14:textId="77777777" w:rsidR="00541CCB" w:rsidRPr="00312485" w:rsidRDefault="00541CCB" w:rsidP="00CC6394">
      <w:pPr>
        <w:numPr>
          <w:ilvl w:val="0"/>
          <w:numId w:val="3"/>
        </w:numPr>
        <w:tabs>
          <w:tab w:val="left" w:pos="709"/>
        </w:tabs>
        <w:ind w:left="0" w:firstLine="567"/>
        <w:rPr>
          <w:sz w:val="24"/>
          <w:szCs w:val="24"/>
          <w:lang w:val="ro-MD"/>
        </w:rPr>
      </w:pPr>
      <w:r w:rsidRPr="00312485">
        <w:rPr>
          <w:rFonts w:eastAsia="Calibri"/>
          <w:sz w:val="24"/>
          <w:szCs w:val="24"/>
          <w:lang w:val="ro-MD"/>
        </w:rPr>
        <w:t>acordarea subvențiilor producătorilor agricoli prin intermediul Fondului național de dezvoltare a agriculturii și mediului rural pentru domeniile strategice ale sectorului, inclusiv pentru creșterea competitivității sectorului agroindustrial, asigurarea gestionării durabile a resurselor naturale, îmbunătățirea nivelului de trai și de muncă în mediul rural, acordarea subvențiilor în avans pentru proiectele start-</w:t>
      </w:r>
      <w:proofErr w:type="spellStart"/>
      <w:r w:rsidRPr="00312485">
        <w:rPr>
          <w:rFonts w:eastAsia="Calibri"/>
          <w:sz w:val="24"/>
          <w:szCs w:val="24"/>
          <w:lang w:val="ro-MD"/>
        </w:rPr>
        <w:t>up</w:t>
      </w:r>
      <w:proofErr w:type="spellEnd"/>
      <w:r w:rsidRPr="00312485">
        <w:rPr>
          <w:rFonts w:eastAsia="Calibri"/>
          <w:sz w:val="24"/>
          <w:szCs w:val="24"/>
          <w:lang w:val="ro-MD"/>
        </w:rPr>
        <w:t>, acordarea subvențiilor în avans pentru dezvoltarea locală prin intermediul programului LEADER;</w:t>
      </w:r>
    </w:p>
    <w:p w14:paraId="721CA6CB" w14:textId="77777777" w:rsidR="00541CCB" w:rsidRPr="00312485" w:rsidRDefault="00541CCB" w:rsidP="00CC6394">
      <w:pPr>
        <w:numPr>
          <w:ilvl w:val="0"/>
          <w:numId w:val="3"/>
        </w:numPr>
        <w:tabs>
          <w:tab w:val="left" w:pos="709"/>
        </w:tabs>
        <w:ind w:left="0" w:firstLine="567"/>
        <w:rPr>
          <w:sz w:val="24"/>
          <w:szCs w:val="24"/>
          <w:lang w:val="ro-MD"/>
        </w:rPr>
      </w:pPr>
      <w:r w:rsidRPr="00312485">
        <w:rPr>
          <w:rFonts w:eastAsia="Calibri"/>
          <w:sz w:val="24"/>
          <w:szCs w:val="24"/>
          <w:lang w:val="ro-MD"/>
        </w:rPr>
        <w:t>consolidarea transparenței, responsabilitatea și conformitatea prin stabilirea unor criterii clare de condiționalitate și a unui mecanism robust de monitorizare și sancționare care va spori administrarea subvențiilor;</w:t>
      </w:r>
    </w:p>
    <w:p w14:paraId="5037BAC6" w14:textId="77777777" w:rsidR="00541CCB" w:rsidRPr="00312485" w:rsidRDefault="00541CCB" w:rsidP="00CC6394">
      <w:pPr>
        <w:numPr>
          <w:ilvl w:val="0"/>
          <w:numId w:val="3"/>
        </w:numPr>
        <w:tabs>
          <w:tab w:val="left" w:pos="709"/>
        </w:tabs>
        <w:ind w:left="0" w:firstLine="567"/>
        <w:rPr>
          <w:sz w:val="24"/>
          <w:szCs w:val="24"/>
          <w:lang w:val="ro-MD"/>
        </w:rPr>
      </w:pPr>
      <w:r w:rsidRPr="00312485">
        <w:rPr>
          <w:sz w:val="24"/>
          <w:szCs w:val="24"/>
          <w:lang w:val="ro-MD"/>
        </w:rPr>
        <w:t>consolidarea cadrului instituțional administrativ și de reglementare agricol al Republicii Moldova pentru a asigura o conformitate sporită cu standardele UE;</w:t>
      </w:r>
    </w:p>
    <w:p w14:paraId="05050FAE" w14:textId="77777777" w:rsidR="00541CCB" w:rsidRPr="00312485" w:rsidRDefault="00541CCB" w:rsidP="00CC6394">
      <w:pPr>
        <w:numPr>
          <w:ilvl w:val="0"/>
          <w:numId w:val="3"/>
        </w:numPr>
        <w:tabs>
          <w:tab w:val="left" w:pos="709"/>
        </w:tabs>
        <w:ind w:left="0" w:firstLine="567"/>
        <w:rPr>
          <w:rFonts w:eastAsia="Calibri"/>
          <w:sz w:val="24"/>
          <w:szCs w:val="24"/>
          <w:lang w:val="ro-MD"/>
        </w:rPr>
      </w:pPr>
      <w:r w:rsidRPr="00312485">
        <w:rPr>
          <w:rFonts w:eastAsia="Calibri"/>
          <w:sz w:val="24"/>
          <w:szCs w:val="24"/>
          <w:lang w:val="ro-MD"/>
        </w:rPr>
        <w:t>extinderea suprafețelor cu vegetație forestieră în cadrul Programului național de împădurire;</w:t>
      </w:r>
    </w:p>
    <w:p w14:paraId="2E374035" w14:textId="77777777" w:rsidR="00541CCB" w:rsidRPr="00312485" w:rsidRDefault="00541CCB" w:rsidP="00CC6394">
      <w:pPr>
        <w:numPr>
          <w:ilvl w:val="0"/>
          <w:numId w:val="3"/>
        </w:numPr>
        <w:ind w:left="0" w:firstLine="567"/>
        <w:rPr>
          <w:rFonts w:eastAsia="Calibri"/>
          <w:b/>
          <w:i/>
          <w:sz w:val="24"/>
          <w:szCs w:val="24"/>
          <w:lang w:val="ro-MD"/>
        </w:rPr>
      </w:pPr>
      <w:r w:rsidRPr="00312485">
        <w:rPr>
          <w:sz w:val="24"/>
          <w:szCs w:val="24"/>
          <w:lang w:val="ro-MD"/>
        </w:rPr>
        <w:t xml:space="preserve">implementarea măsurilor aferente Proiectului „Investiții pentru Guvernanță, Creștere și Reziliență în Agricultură (AGGRI)” pentru îmbunătățirea furnizării de servicii agricole publice, stimularea dezvoltării orientate spre piață pentru beneficiari, stimularea dezvoltării </w:t>
      </w:r>
      <w:proofErr w:type="spellStart"/>
      <w:r w:rsidRPr="00312485">
        <w:rPr>
          <w:sz w:val="24"/>
          <w:szCs w:val="24"/>
          <w:lang w:val="ro-MD"/>
        </w:rPr>
        <w:t>subsectoarelor</w:t>
      </w:r>
      <w:proofErr w:type="spellEnd"/>
      <w:r w:rsidRPr="00312485">
        <w:rPr>
          <w:sz w:val="24"/>
          <w:szCs w:val="24"/>
          <w:lang w:val="ro-MD"/>
        </w:rPr>
        <w:t xml:space="preserve"> care înregistrează performanțe insuficiente prin acordarea de granturi investiționale </w:t>
      </w:r>
      <w:proofErr w:type="spellStart"/>
      <w:r w:rsidRPr="00312485">
        <w:rPr>
          <w:sz w:val="24"/>
          <w:szCs w:val="24"/>
          <w:lang w:val="ro-MD"/>
        </w:rPr>
        <w:t>coparticipative</w:t>
      </w:r>
      <w:proofErr w:type="spellEnd"/>
      <w:r w:rsidRPr="00312485">
        <w:rPr>
          <w:sz w:val="24"/>
          <w:szCs w:val="24"/>
          <w:lang w:val="ro-MD"/>
        </w:rPr>
        <w:t xml:space="preserve"> beneficiarilor eligibili (în special producerea produselor lactate), reabilitarea și evaluarea infrastructurii de irigare și sporirea rezilienței beneficiarilor, în caz de situație de criză sau urgență;</w:t>
      </w:r>
    </w:p>
    <w:p w14:paraId="18A6FB5C" w14:textId="77777777" w:rsidR="00541CCB" w:rsidRPr="00312485" w:rsidRDefault="00541CCB" w:rsidP="00CC6394">
      <w:pPr>
        <w:numPr>
          <w:ilvl w:val="0"/>
          <w:numId w:val="3"/>
        </w:numPr>
        <w:tabs>
          <w:tab w:val="left" w:pos="709"/>
        </w:tabs>
        <w:ind w:left="0" w:firstLine="567"/>
        <w:rPr>
          <w:rFonts w:eastAsia="Calibri"/>
          <w:sz w:val="24"/>
          <w:szCs w:val="24"/>
          <w:lang w:val="ro-MD"/>
        </w:rPr>
      </w:pPr>
      <w:r w:rsidRPr="00312485">
        <w:rPr>
          <w:rFonts w:eastAsia="Calibri"/>
          <w:sz w:val="24"/>
          <w:szCs w:val="24"/>
          <w:lang w:val="ro-MD"/>
        </w:rPr>
        <w:t xml:space="preserve">acordarea de granturi pentru proiecte de infrastructură, pentru măsuri de adaptare la schimbările climatice, înființarea și reabilitarea perdelelor de protecție și a învelișurilor de ierburi, credite cu porțiuni de grant pentru întreprinderile micro, mici și mijlocii, tinerilor </w:t>
      </w:r>
      <w:r w:rsidRPr="00312485">
        <w:rPr>
          <w:rFonts w:eastAsia="Calibri"/>
          <w:sz w:val="24"/>
          <w:szCs w:val="24"/>
          <w:lang w:val="ro-MD"/>
        </w:rPr>
        <w:lastRenderedPageBreak/>
        <w:t>antreprenori și femeilor din mediul rural prin intermediul Programului de reziliență rurală și a Proiectului „Îmbunătățirea capacităților întru transformarea zonei rurale” (IFAD);</w:t>
      </w:r>
    </w:p>
    <w:p w14:paraId="5905C48C" w14:textId="77777777" w:rsidR="00541CCB" w:rsidRPr="00312485" w:rsidRDefault="00541CCB" w:rsidP="00CC6394">
      <w:pPr>
        <w:numPr>
          <w:ilvl w:val="0"/>
          <w:numId w:val="3"/>
        </w:numPr>
        <w:tabs>
          <w:tab w:val="left" w:pos="709"/>
        </w:tabs>
        <w:ind w:left="0" w:firstLine="567"/>
        <w:rPr>
          <w:rFonts w:eastAsia="Calibri"/>
          <w:b/>
          <w:bCs/>
          <w:sz w:val="24"/>
          <w:szCs w:val="24"/>
          <w:lang w:val="ro-MD"/>
        </w:rPr>
      </w:pPr>
      <w:r w:rsidRPr="00312485">
        <w:rPr>
          <w:rFonts w:eastAsia="Calibri"/>
          <w:sz w:val="24"/>
          <w:szCs w:val="24"/>
          <w:lang w:val="ro-MD"/>
        </w:rPr>
        <w:t xml:space="preserve">programe de finanțare, inclusiv prin leasing, prin intermediul Proiectului „Modernizarea tehnicii agricole și echipamentului post-recoltare” care </w:t>
      </w:r>
      <w:r w:rsidRPr="00312485">
        <w:rPr>
          <w:rFonts w:eastAsia="Calibri"/>
          <w:color w:val="000000"/>
          <w:sz w:val="24"/>
          <w:szCs w:val="24"/>
          <w:shd w:val="clear" w:color="auto" w:fill="FFFFFF"/>
          <w:lang w:val="ro-MD"/>
        </w:rPr>
        <w:t xml:space="preserve">este destinat agricultorilor (întreprinderi agricole mici </w:t>
      </w:r>
      <w:proofErr w:type="spellStart"/>
      <w:r w:rsidRPr="00312485">
        <w:rPr>
          <w:rFonts w:eastAsia="Calibri"/>
          <w:color w:val="000000"/>
          <w:sz w:val="24"/>
          <w:szCs w:val="24"/>
          <w:shd w:val="clear" w:color="auto" w:fill="FFFFFF"/>
          <w:lang w:val="ro-MD"/>
        </w:rPr>
        <w:t>şi</w:t>
      </w:r>
      <w:proofErr w:type="spellEnd"/>
      <w:r w:rsidRPr="00312485">
        <w:rPr>
          <w:rFonts w:eastAsia="Calibri"/>
          <w:color w:val="000000"/>
          <w:sz w:val="24"/>
          <w:szCs w:val="24"/>
          <w:shd w:val="clear" w:color="auto" w:fill="FFFFFF"/>
          <w:lang w:val="ro-MD"/>
        </w:rPr>
        <w:t xml:space="preserve"> mijlocii) ce doresc să efectueze investiții în vederea îmbunătățirii productivității agricole prin intermediul mașinilor agricole și echipamentelor post-recoltare;</w:t>
      </w:r>
    </w:p>
    <w:p w14:paraId="4D521DAE" w14:textId="77777777" w:rsidR="00541CCB" w:rsidRPr="00437B9A" w:rsidRDefault="00541CCB" w:rsidP="00541CCB">
      <w:pPr>
        <w:ind w:firstLine="491"/>
        <w:rPr>
          <w:i/>
          <w:sz w:val="24"/>
          <w:szCs w:val="24"/>
          <w:lang w:val="ro-MD"/>
        </w:rPr>
      </w:pPr>
      <w:r w:rsidRPr="00312485">
        <w:rPr>
          <w:i/>
          <w:sz w:val="24"/>
          <w:szCs w:val="24"/>
          <w:lang w:val="ro-MD"/>
        </w:rPr>
        <w:t xml:space="preserve">În contextul măsurilor și acțiunilor planificate pentru anii 2026-2028 acestea se propun a fi implementate </w:t>
      </w:r>
      <w:r w:rsidRPr="00437B9A">
        <w:rPr>
          <w:i/>
          <w:sz w:val="24"/>
          <w:szCs w:val="24"/>
          <w:lang w:val="ro-MD"/>
        </w:rPr>
        <w:t>prin:</w:t>
      </w:r>
    </w:p>
    <w:p w14:paraId="6249687C" w14:textId="77777777" w:rsidR="00541CCB" w:rsidRPr="00437B9A" w:rsidRDefault="00541CCB" w:rsidP="00CC6394">
      <w:pPr>
        <w:pStyle w:val="Listparagraf"/>
        <w:numPr>
          <w:ilvl w:val="0"/>
          <w:numId w:val="5"/>
        </w:numPr>
        <w:ind w:left="0" w:firstLine="567"/>
        <w:rPr>
          <w:sz w:val="24"/>
          <w:szCs w:val="24"/>
          <w:lang w:val="ro-MD"/>
        </w:rPr>
      </w:pPr>
      <w:r w:rsidRPr="00437B9A">
        <w:rPr>
          <w:sz w:val="24"/>
          <w:szCs w:val="24"/>
          <w:lang w:val="ro-MD"/>
        </w:rPr>
        <w:t xml:space="preserve">elaborarea Registrului național al fermierilor din Moldova și Sistemul de identificare a parcelelor funciare (SIPF) care vor asigura implementarea plăților pe suprafață în viitor. </w:t>
      </w:r>
    </w:p>
    <w:p w14:paraId="353A59CE" w14:textId="64E7AFDF" w:rsidR="00541CCB" w:rsidRPr="00312485" w:rsidRDefault="00541CCB" w:rsidP="00CC6394">
      <w:pPr>
        <w:pStyle w:val="Listparagraf"/>
        <w:numPr>
          <w:ilvl w:val="0"/>
          <w:numId w:val="5"/>
        </w:numPr>
        <w:ind w:left="0" w:firstLine="567"/>
        <w:rPr>
          <w:sz w:val="24"/>
          <w:szCs w:val="24"/>
          <w:lang w:val="ro-MD"/>
        </w:rPr>
      </w:pPr>
      <w:r w:rsidRPr="00437B9A">
        <w:rPr>
          <w:sz w:val="24"/>
          <w:szCs w:val="24"/>
          <w:lang w:val="ro-MD"/>
        </w:rPr>
        <w:t xml:space="preserve">elaborarea și punerea în </w:t>
      </w:r>
      <w:r w:rsidR="00CF5CBB" w:rsidRPr="00437B9A">
        <w:rPr>
          <w:sz w:val="24"/>
          <w:szCs w:val="24"/>
          <w:lang w:val="ro-MD"/>
        </w:rPr>
        <w:t>aplicare</w:t>
      </w:r>
      <w:r w:rsidRPr="00437B9A">
        <w:rPr>
          <w:sz w:val="24"/>
          <w:szCs w:val="24"/>
          <w:lang w:val="ro-MD"/>
        </w:rPr>
        <w:t xml:space="preserve"> a  </w:t>
      </w:r>
      <w:proofErr w:type="spellStart"/>
      <w:r w:rsidRPr="00437B9A">
        <w:rPr>
          <w:sz w:val="24"/>
          <w:szCs w:val="24"/>
          <w:lang w:val="ro-MD"/>
        </w:rPr>
        <w:t>condiționalităților</w:t>
      </w:r>
      <w:proofErr w:type="spellEnd"/>
      <w:r w:rsidRPr="00437B9A">
        <w:rPr>
          <w:sz w:val="24"/>
          <w:szCs w:val="24"/>
          <w:lang w:val="ro-MD"/>
        </w:rPr>
        <w:t xml:space="preserve"> (aderarea la cerințele de gestionare a statuarelor) și mecanismului de sancționare</w:t>
      </w:r>
      <w:r w:rsidRPr="00312485">
        <w:rPr>
          <w:sz w:val="24"/>
          <w:szCs w:val="24"/>
          <w:lang w:val="ro-MD"/>
        </w:rPr>
        <w:t xml:space="preserve"> pentru nerespectarea condițiilor sprijinului financiar acordat de AIPA pentru a stimula punerea în aplicare a standardelor UE pentru sănătatea și bunăstarea publică, vegetală și a animalelor; </w:t>
      </w:r>
    </w:p>
    <w:p w14:paraId="1A93F7E0" w14:textId="77777777" w:rsidR="00541CCB" w:rsidRPr="00312485" w:rsidRDefault="00541CCB" w:rsidP="00CC6394">
      <w:pPr>
        <w:pStyle w:val="Listparagraf"/>
        <w:numPr>
          <w:ilvl w:val="0"/>
          <w:numId w:val="5"/>
        </w:numPr>
        <w:ind w:left="0" w:firstLine="567"/>
        <w:rPr>
          <w:sz w:val="24"/>
          <w:szCs w:val="24"/>
          <w:lang w:val="ro-MD"/>
        </w:rPr>
      </w:pPr>
      <w:r w:rsidRPr="00312485">
        <w:rPr>
          <w:sz w:val="24"/>
          <w:szCs w:val="24"/>
          <w:lang w:val="ro-MD"/>
        </w:rPr>
        <w:t>se preconizează ca 80 la sută din GAL-urile înregistrate să beneficieze de sprijinul din Fondul național de dezvoltare a agriculturii și mediului rural și 500 proiecte implementate anual.</w:t>
      </w:r>
    </w:p>
    <w:p w14:paraId="3998FD27" w14:textId="77777777" w:rsidR="00541CCB" w:rsidRPr="00312485" w:rsidRDefault="00541CCB" w:rsidP="00541CCB">
      <w:pPr>
        <w:ind w:firstLine="491"/>
        <w:rPr>
          <w:sz w:val="24"/>
          <w:szCs w:val="24"/>
          <w:lang w:val="ro-MD"/>
        </w:rPr>
      </w:pPr>
    </w:p>
    <w:p w14:paraId="3D34A486" w14:textId="77777777" w:rsidR="00541CCB" w:rsidRPr="00312485" w:rsidRDefault="00541CCB" w:rsidP="00541CCB">
      <w:pPr>
        <w:ind w:left="709" w:hanging="142"/>
        <w:rPr>
          <w:b/>
          <w:i/>
          <w:sz w:val="24"/>
          <w:szCs w:val="24"/>
          <w:lang w:val="ro-MD"/>
        </w:rPr>
      </w:pPr>
      <w:r w:rsidRPr="00312485">
        <w:rPr>
          <w:b/>
          <w:i/>
          <w:sz w:val="24"/>
          <w:szCs w:val="24"/>
          <w:lang w:val="ro-MD"/>
        </w:rPr>
        <w:t>Sectorul energetic (11)</w:t>
      </w:r>
    </w:p>
    <w:p w14:paraId="27987CFA" w14:textId="77777777" w:rsidR="00541CCB" w:rsidRPr="00312485" w:rsidRDefault="00541CCB" w:rsidP="00541CCB">
      <w:pPr>
        <w:tabs>
          <w:tab w:val="left" w:pos="403"/>
        </w:tabs>
        <w:ind w:firstLine="567"/>
        <w:rPr>
          <w:rFonts w:eastAsia="Calibri"/>
          <w:sz w:val="24"/>
          <w:szCs w:val="24"/>
          <w:lang w:val="ro-MD"/>
        </w:rPr>
      </w:pPr>
      <w:r w:rsidRPr="00312485">
        <w:rPr>
          <w:rFonts w:eastAsia="Calibri"/>
          <w:sz w:val="24"/>
          <w:szCs w:val="24"/>
          <w:lang w:val="ro-MD"/>
        </w:rPr>
        <w:t>Sectorul energetic are un rol important din punct de vedere strategic, politicile actuale fiind orientate spre dezvoltarea unui sector sustenabil și durabil, asigurarea securității energetice, prin integrarea pe piața energetică a UE, implementarea proiectelor de infrastructură transfrontalieră, diversificarea surselor de furnizare, creșterea electrificării, valorificarea surselor interne de generare a energiei, stabilirea unor mecanisme de sprijin și promovarea creării și utilizării energiei regenerabile. Un element esențial în următorii ani se pune pe îmbunătățirea măsurilor de eficiență energetică și crearea unei piețe de echilibrare și a serviciilor auxiliare, menite să consolideze stabilitatea, fiabilitatea și eficiența sectorului de energie electrică.</w:t>
      </w:r>
    </w:p>
    <w:p w14:paraId="1FFF4390" w14:textId="77777777" w:rsidR="00541CCB" w:rsidRPr="00312485" w:rsidRDefault="00541CCB" w:rsidP="00541CCB">
      <w:pPr>
        <w:tabs>
          <w:tab w:val="left" w:pos="403"/>
        </w:tabs>
        <w:ind w:firstLine="567"/>
        <w:rPr>
          <w:rFonts w:eastAsia="Calibri"/>
          <w:bCs/>
          <w:sz w:val="24"/>
          <w:szCs w:val="24"/>
          <w:lang w:val="ro-MD"/>
        </w:rPr>
      </w:pPr>
      <w:r w:rsidRPr="00312485">
        <w:rPr>
          <w:rFonts w:eastAsia="Calibri"/>
          <w:bCs/>
          <w:i/>
          <w:sz w:val="24"/>
          <w:szCs w:val="24"/>
          <w:lang w:val="ro-MD"/>
        </w:rPr>
        <w:t>Principalele priorități și acțiuni</w:t>
      </w:r>
      <w:r w:rsidRPr="00312485">
        <w:rPr>
          <w:rFonts w:eastAsia="Calibri"/>
          <w:bCs/>
          <w:sz w:val="24"/>
          <w:szCs w:val="24"/>
          <w:lang w:val="ro-MD"/>
        </w:rPr>
        <w:t xml:space="preserve"> </w:t>
      </w:r>
      <w:r w:rsidRPr="00312485">
        <w:rPr>
          <w:rFonts w:eastAsia="Calibri"/>
          <w:bCs/>
          <w:i/>
          <w:sz w:val="24"/>
          <w:szCs w:val="24"/>
          <w:lang w:val="ro-MD"/>
        </w:rPr>
        <w:t>planificate pentru anii 2026-2028 sunt</w:t>
      </w:r>
      <w:r w:rsidRPr="00312485">
        <w:rPr>
          <w:rFonts w:eastAsia="Calibri"/>
          <w:bCs/>
          <w:sz w:val="24"/>
          <w:szCs w:val="24"/>
          <w:lang w:val="ro-MD"/>
        </w:rPr>
        <w:t>:</w:t>
      </w:r>
    </w:p>
    <w:p w14:paraId="1ECF9C65" w14:textId="77777777" w:rsidR="00541CCB" w:rsidRPr="00312485" w:rsidRDefault="00541CCB" w:rsidP="00CC6394">
      <w:pPr>
        <w:numPr>
          <w:ilvl w:val="0"/>
          <w:numId w:val="2"/>
        </w:numPr>
        <w:tabs>
          <w:tab w:val="left" w:pos="567"/>
        </w:tabs>
        <w:ind w:left="0" w:firstLine="567"/>
        <w:rPr>
          <w:sz w:val="24"/>
          <w:szCs w:val="24"/>
          <w:lang w:val="ro-MD"/>
        </w:rPr>
      </w:pPr>
      <w:r w:rsidRPr="00312485">
        <w:rPr>
          <w:sz w:val="24"/>
          <w:szCs w:val="24"/>
          <w:lang w:val="ro-MD"/>
        </w:rPr>
        <w:t xml:space="preserve">consolidarea rezilienței și securității sectorului energetic prin reducerea dependenței de importuri și diversificarea furnizorilor de energie; </w:t>
      </w:r>
    </w:p>
    <w:p w14:paraId="1DAF8132" w14:textId="77777777" w:rsidR="00541CCB" w:rsidRPr="00312485" w:rsidRDefault="00541CCB" w:rsidP="00CC6394">
      <w:pPr>
        <w:numPr>
          <w:ilvl w:val="0"/>
          <w:numId w:val="2"/>
        </w:numPr>
        <w:tabs>
          <w:tab w:val="left" w:pos="567"/>
        </w:tabs>
        <w:ind w:left="0" w:firstLine="567"/>
        <w:rPr>
          <w:sz w:val="24"/>
          <w:szCs w:val="24"/>
          <w:lang w:val="ro-MD"/>
        </w:rPr>
      </w:pPr>
      <w:r w:rsidRPr="00312485">
        <w:rPr>
          <w:sz w:val="24"/>
          <w:szCs w:val="24"/>
          <w:lang w:val="ro-MD"/>
        </w:rPr>
        <w:t>integrarea pe piața unică a energiei din UE;</w:t>
      </w:r>
    </w:p>
    <w:p w14:paraId="70FC1EF9" w14:textId="77777777" w:rsidR="00541CCB" w:rsidRPr="00312485" w:rsidRDefault="00541CCB" w:rsidP="00CC6394">
      <w:pPr>
        <w:numPr>
          <w:ilvl w:val="0"/>
          <w:numId w:val="2"/>
        </w:numPr>
        <w:tabs>
          <w:tab w:val="left" w:pos="567"/>
        </w:tabs>
        <w:ind w:left="0" w:firstLine="567"/>
        <w:rPr>
          <w:sz w:val="24"/>
          <w:szCs w:val="24"/>
          <w:lang w:val="ro-MD"/>
        </w:rPr>
      </w:pPr>
      <w:r w:rsidRPr="00312485">
        <w:rPr>
          <w:rFonts w:eastAsia="Calibri"/>
          <w:sz w:val="24"/>
          <w:szCs w:val="24"/>
          <w:lang w:val="ro-MD"/>
        </w:rPr>
        <w:t>prevenirea și atenuarea potențialelor crize energetice, inclusiv prin asigurarea achiziției și a stocurilor strategice de gaze naturale;</w:t>
      </w:r>
    </w:p>
    <w:p w14:paraId="133D1F0F" w14:textId="77777777" w:rsidR="00541CCB" w:rsidRPr="00312485" w:rsidRDefault="00541CCB" w:rsidP="00CC6394">
      <w:pPr>
        <w:numPr>
          <w:ilvl w:val="0"/>
          <w:numId w:val="2"/>
        </w:numPr>
        <w:tabs>
          <w:tab w:val="left" w:pos="567"/>
        </w:tabs>
        <w:ind w:left="0" w:firstLine="567"/>
        <w:rPr>
          <w:sz w:val="24"/>
          <w:szCs w:val="24"/>
          <w:lang w:val="ro-MD"/>
        </w:rPr>
      </w:pPr>
      <w:r w:rsidRPr="00312485">
        <w:rPr>
          <w:rFonts w:eastAsia="Calibri"/>
          <w:sz w:val="24"/>
          <w:szCs w:val="24"/>
          <w:lang w:val="ro-MD"/>
        </w:rPr>
        <w:t xml:space="preserve">creșterea utilizării energiei din surse regenerabile în consumul final brut de energie;  </w:t>
      </w:r>
    </w:p>
    <w:p w14:paraId="2ADD4BCE" w14:textId="77777777" w:rsidR="00541CCB" w:rsidRPr="00312485" w:rsidRDefault="00541CCB" w:rsidP="00CC6394">
      <w:pPr>
        <w:numPr>
          <w:ilvl w:val="0"/>
          <w:numId w:val="2"/>
        </w:numPr>
        <w:tabs>
          <w:tab w:val="left" w:pos="567"/>
        </w:tabs>
        <w:ind w:left="0" w:firstLine="567"/>
        <w:rPr>
          <w:rFonts w:eastAsia="Calibri"/>
          <w:sz w:val="24"/>
          <w:szCs w:val="24"/>
          <w:lang w:val="ro-MD"/>
        </w:rPr>
      </w:pPr>
      <w:r w:rsidRPr="00312485">
        <w:rPr>
          <w:rFonts w:eastAsia="Calibri"/>
          <w:sz w:val="24"/>
          <w:szCs w:val="24"/>
          <w:lang w:val="ro-MD"/>
        </w:rPr>
        <w:t>diversificarea surselor și căilor de aprovizionare cu gaze naturale</w:t>
      </w:r>
      <w:r w:rsidRPr="00312485">
        <w:rPr>
          <w:sz w:val="24"/>
          <w:szCs w:val="24"/>
          <w:lang w:val="ro-MD"/>
        </w:rPr>
        <w:t xml:space="preserve"> </w:t>
      </w:r>
      <w:r w:rsidRPr="00312485">
        <w:rPr>
          <w:rFonts w:eastAsia="Calibri"/>
          <w:sz w:val="24"/>
          <w:szCs w:val="24"/>
          <w:lang w:val="ro-MD"/>
        </w:rPr>
        <w:t>și crearea unei previzibilități și stabilități pentru funcționarea economiei naționale;</w:t>
      </w:r>
    </w:p>
    <w:p w14:paraId="06B1F103" w14:textId="77777777" w:rsidR="00541CCB" w:rsidRPr="00312485" w:rsidRDefault="00541CCB" w:rsidP="00CC6394">
      <w:pPr>
        <w:numPr>
          <w:ilvl w:val="0"/>
          <w:numId w:val="2"/>
        </w:numPr>
        <w:tabs>
          <w:tab w:val="left" w:pos="360"/>
          <w:tab w:val="left" w:pos="567"/>
        </w:tabs>
        <w:ind w:left="0" w:firstLine="567"/>
        <w:rPr>
          <w:rFonts w:eastAsia="Calibri"/>
          <w:sz w:val="24"/>
          <w:szCs w:val="24"/>
          <w:lang w:val="ro-MD"/>
        </w:rPr>
      </w:pPr>
      <w:r w:rsidRPr="00312485">
        <w:rPr>
          <w:rFonts w:eastAsia="Calibri"/>
          <w:sz w:val="24"/>
          <w:szCs w:val="24"/>
          <w:lang w:val="ro-MD"/>
        </w:rPr>
        <w:t>implementarea mecanismelor și promovarea securității, a durabilității și a eficienței energetice prin continuarea</w:t>
      </w:r>
      <w:r w:rsidRPr="00312485">
        <w:rPr>
          <w:sz w:val="24"/>
          <w:szCs w:val="24"/>
          <w:lang w:val="ro-MD"/>
        </w:rPr>
        <w:t xml:space="preserve"> p</w:t>
      </w:r>
      <w:r w:rsidRPr="00312485">
        <w:rPr>
          <w:rFonts w:eastAsia="Calibri"/>
          <w:sz w:val="24"/>
          <w:szCs w:val="24"/>
          <w:lang w:val="ro-MD"/>
        </w:rPr>
        <w:t>rogramului de vouchere pentru electrocasnice și programului de modernizare a sistemului intern de distribuție a agentului termic pentru încălzire și alimentare cu apă caldă menajeră;</w:t>
      </w:r>
    </w:p>
    <w:p w14:paraId="7377A507" w14:textId="77777777" w:rsidR="00541CCB" w:rsidRPr="00312485" w:rsidRDefault="00541CCB" w:rsidP="00CC6394">
      <w:pPr>
        <w:numPr>
          <w:ilvl w:val="0"/>
          <w:numId w:val="2"/>
        </w:numPr>
        <w:tabs>
          <w:tab w:val="left" w:pos="567"/>
        </w:tabs>
        <w:ind w:left="0" w:firstLine="567"/>
        <w:rPr>
          <w:rFonts w:eastAsia="Calibri"/>
          <w:sz w:val="24"/>
          <w:szCs w:val="24"/>
          <w:lang w:val="ro-MD"/>
        </w:rPr>
      </w:pPr>
      <w:r w:rsidRPr="00312485">
        <w:rPr>
          <w:rFonts w:eastAsia="Calibri"/>
          <w:sz w:val="24"/>
          <w:szCs w:val="24"/>
          <w:lang w:val="ro-MD"/>
        </w:rPr>
        <w:t>promovarea utilizării surselor regenerabile prin instalarea sistemelor fotovoltaice deținute de către consumatorii casnici;</w:t>
      </w:r>
    </w:p>
    <w:p w14:paraId="5002EC70" w14:textId="77777777" w:rsidR="00541CCB" w:rsidRPr="00312485" w:rsidRDefault="00541CCB" w:rsidP="00CC6394">
      <w:pPr>
        <w:numPr>
          <w:ilvl w:val="0"/>
          <w:numId w:val="2"/>
        </w:numPr>
        <w:tabs>
          <w:tab w:val="left" w:pos="567"/>
        </w:tabs>
        <w:ind w:left="0" w:firstLine="567"/>
        <w:rPr>
          <w:rFonts w:eastAsia="Calibri"/>
          <w:sz w:val="24"/>
          <w:szCs w:val="24"/>
          <w:lang w:val="ro-MD"/>
        </w:rPr>
      </w:pPr>
      <w:r w:rsidRPr="00312485">
        <w:rPr>
          <w:rFonts w:eastAsia="Calibri"/>
          <w:sz w:val="24"/>
          <w:szCs w:val="24"/>
          <w:lang w:val="ro-MD"/>
        </w:rPr>
        <w:t>creșterea eficienței sistemelor termoenergetice, prin modernizarea rețelelor termice și capacităților de cogenerare în municipiul Chișinău;</w:t>
      </w:r>
    </w:p>
    <w:p w14:paraId="1B3557EF" w14:textId="77777777" w:rsidR="00541CCB" w:rsidRPr="00312485" w:rsidRDefault="00541CCB" w:rsidP="00CC6394">
      <w:pPr>
        <w:numPr>
          <w:ilvl w:val="0"/>
          <w:numId w:val="2"/>
        </w:numPr>
        <w:tabs>
          <w:tab w:val="left" w:pos="567"/>
        </w:tabs>
        <w:ind w:left="0" w:firstLine="567"/>
        <w:rPr>
          <w:rFonts w:eastAsia="Calibri"/>
          <w:sz w:val="24"/>
          <w:szCs w:val="24"/>
          <w:lang w:val="ro-MD"/>
        </w:rPr>
      </w:pPr>
      <w:r w:rsidRPr="00312485">
        <w:rPr>
          <w:rFonts w:eastAsia="Calibri"/>
          <w:sz w:val="24"/>
          <w:szCs w:val="24"/>
          <w:lang w:val="ro-MD"/>
        </w:rPr>
        <w:t>instalarea punctelor termice individuale și a sistemelor de distribuție a agentului termic în blocurile locative din municipiul Chișinău și Bălți.</w:t>
      </w:r>
    </w:p>
    <w:p w14:paraId="687B3E18" w14:textId="77777777" w:rsidR="00541CCB" w:rsidRPr="00312485" w:rsidRDefault="00541CCB" w:rsidP="00541CCB">
      <w:pPr>
        <w:tabs>
          <w:tab w:val="left" w:pos="567"/>
        </w:tabs>
        <w:rPr>
          <w:rFonts w:eastAsia="Calibri"/>
          <w:i/>
          <w:sz w:val="24"/>
          <w:szCs w:val="24"/>
          <w:lang w:val="ro-MD"/>
        </w:rPr>
      </w:pPr>
      <w:r w:rsidRPr="00312485">
        <w:rPr>
          <w:rFonts w:eastAsia="Calibri"/>
          <w:i/>
          <w:sz w:val="24"/>
          <w:szCs w:val="24"/>
          <w:lang w:val="ro-MD"/>
        </w:rPr>
        <w:tab/>
        <w:t xml:space="preserve">În contextul măsurilor și acțiunilor planificate pentru anii 2026-2028 acestea se propun a fi implementate prin: </w:t>
      </w:r>
    </w:p>
    <w:p w14:paraId="5B0A097E"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aprovizionarea marilor consumatori industriali de gaze de pe piața liberă a gazelor;</w:t>
      </w:r>
    </w:p>
    <w:p w14:paraId="2B1AFA65"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lastRenderedPageBreak/>
        <w:t>asigurarea obligației de stocare a gazului în proporție de 15% din consumul total al Republicii Moldova;</w:t>
      </w:r>
    </w:p>
    <w:p w14:paraId="4504C371" w14:textId="261B069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finalizarea construcției liniei de 400 kV Vulcănești - Chișinău pentru securizarea sistemului său energetic și asigur</w:t>
      </w:r>
      <w:r w:rsidR="00A23FD8" w:rsidRPr="00312485">
        <w:rPr>
          <w:sz w:val="24"/>
          <w:szCs w:val="24"/>
          <w:lang w:val="ro-MD" w:eastAsia="ru-RU"/>
        </w:rPr>
        <w:t>ar</w:t>
      </w:r>
      <w:r w:rsidRPr="00312485">
        <w:rPr>
          <w:sz w:val="24"/>
          <w:szCs w:val="24"/>
          <w:lang w:val="ro-MD" w:eastAsia="ru-RU"/>
        </w:rPr>
        <w:t xml:space="preserve">ea punerii în funcțiune a capacității suplimentare </w:t>
      </w:r>
      <w:proofErr w:type="spellStart"/>
      <w:r w:rsidRPr="00312485">
        <w:rPr>
          <w:sz w:val="24"/>
          <w:szCs w:val="24"/>
          <w:lang w:val="ro-MD" w:eastAsia="ru-RU"/>
        </w:rPr>
        <w:t>dispecerizabile</w:t>
      </w:r>
      <w:proofErr w:type="spellEnd"/>
      <w:r w:rsidRPr="00312485">
        <w:rPr>
          <w:sz w:val="24"/>
          <w:szCs w:val="24"/>
          <w:lang w:val="ro-MD" w:eastAsia="ru-RU"/>
        </w:rPr>
        <w:t xml:space="preserve">. Inițierea construcției liniei de 400 kV Bălți - Suceava pentru a crește capacitățile </w:t>
      </w:r>
      <w:r w:rsidR="00AC18F9">
        <w:rPr>
          <w:sz w:val="24"/>
          <w:szCs w:val="24"/>
          <w:lang w:val="ro-MD" w:eastAsia="ru-RU"/>
        </w:rPr>
        <w:t>transfrontaliere către România;</w:t>
      </w:r>
    </w:p>
    <w:p w14:paraId="62CA9C37" w14:textId="100A5574"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dezvoltarea mecanismului de sprijin pentru stocarea energiei pentru sector</w:t>
      </w:r>
      <w:r w:rsidR="00AC18F9">
        <w:rPr>
          <w:sz w:val="24"/>
          <w:szCs w:val="24"/>
          <w:lang w:val="ro-MD" w:eastAsia="ru-RU"/>
        </w:rPr>
        <w:t>ul rezidențial și întreprinderi;</w:t>
      </w:r>
    </w:p>
    <w:p w14:paraId="11D7E5D7" w14:textId="11F908AA"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extinderea Fondului pentru eficiență energetică în sectorul rezidențial pentru a oferi stimulente pentru renovarea blocurilor locative și a caselor individuale, inclus</w:t>
      </w:r>
      <w:r w:rsidR="00AC18F9">
        <w:rPr>
          <w:sz w:val="24"/>
          <w:szCs w:val="24"/>
          <w:lang w:val="ro-MD" w:eastAsia="ru-RU"/>
        </w:rPr>
        <w:t>iv a gospodăriilor vulnerabile;</w:t>
      </w:r>
    </w:p>
    <w:p w14:paraId="22992640" w14:textId="0AEAFEDA"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extinderea programului de </w:t>
      </w:r>
      <w:r w:rsidR="00A23FD8" w:rsidRPr="00312485">
        <w:rPr>
          <w:sz w:val="24"/>
          <w:szCs w:val="24"/>
          <w:lang w:val="ro-MD" w:eastAsia="ru-RU"/>
        </w:rPr>
        <w:t>Eco</w:t>
      </w:r>
      <w:r w:rsidRPr="00312485">
        <w:rPr>
          <w:sz w:val="24"/>
          <w:szCs w:val="24"/>
          <w:lang w:val="ro-MD" w:eastAsia="ru-RU"/>
        </w:rPr>
        <w:t>-vouchere și dezvoltarea mecanismului de sprijin pentru stocarea energiei pentru sectorul rezidențial și întreprinderi.</w:t>
      </w:r>
    </w:p>
    <w:p w14:paraId="685D211E" w14:textId="77777777" w:rsidR="00541CCB" w:rsidRPr="00312485" w:rsidRDefault="00541CCB" w:rsidP="00541CCB">
      <w:pPr>
        <w:tabs>
          <w:tab w:val="left" w:pos="567"/>
        </w:tabs>
        <w:ind w:left="491"/>
        <w:rPr>
          <w:rFonts w:eastAsia="Calibri"/>
          <w:sz w:val="24"/>
          <w:szCs w:val="24"/>
          <w:lang w:val="ro-MD"/>
        </w:rPr>
      </w:pPr>
    </w:p>
    <w:p w14:paraId="57CC5AC2" w14:textId="77777777" w:rsidR="00541CCB" w:rsidRPr="00312485" w:rsidRDefault="00541CCB" w:rsidP="00541CCB">
      <w:pPr>
        <w:ind w:left="709" w:hanging="142"/>
        <w:rPr>
          <w:b/>
          <w:i/>
          <w:sz w:val="24"/>
          <w:szCs w:val="24"/>
          <w:lang w:val="ro-MD"/>
        </w:rPr>
      </w:pPr>
      <w:r w:rsidRPr="00312485">
        <w:rPr>
          <w:b/>
          <w:i/>
          <w:sz w:val="24"/>
          <w:szCs w:val="24"/>
          <w:lang w:val="ro-MD"/>
        </w:rPr>
        <w:t>Transporturi (13)</w:t>
      </w:r>
    </w:p>
    <w:p w14:paraId="55C29CAB" w14:textId="1BF75714" w:rsidR="00541CCB" w:rsidRPr="00312485" w:rsidRDefault="00541CCB" w:rsidP="00541CCB">
      <w:pPr>
        <w:ind w:firstLine="567"/>
        <w:rPr>
          <w:rFonts w:eastAsia="Calibri"/>
          <w:sz w:val="24"/>
          <w:szCs w:val="24"/>
          <w:lang w:val="ro-MD"/>
        </w:rPr>
      </w:pPr>
      <w:r w:rsidRPr="00312485">
        <w:rPr>
          <w:rFonts w:eastAsia="Calibri"/>
          <w:sz w:val="24"/>
          <w:szCs w:val="24"/>
          <w:lang w:val="ro-MD"/>
        </w:rPr>
        <w:t xml:space="preserve">O prioritate majoră de dezvoltare a sectorului real al economiei este dezvoltarea continuă a sistemului de transporturi și infrastructură, cu o creștere treptată a rețelei de drumuri în stare bună. Calitatea infrastructurii de transport este pe larg percepută ca o componentă importantă a competitivității </w:t>
      </w:r>
      <w:proofErr w:type="spellStart"/>
      <w:r w:rsidRPr="00312485">
        <w:rPr>
          <w:rFonts w:eastAsia="Calibri"/>
          <w:sz w:val="24"/>
          <w:szCs w:val="24"/>
          <w:lang w:val="ro-MD"/>
        </w:rPr>
        <w:t>şi</w:t>
      </w:r>
      <w:proofErr w:type="spellEnd"/>
      <w:r w:rsidRPr="00312485">
        <w:rPr>
          <w:rFonts w:eastAsia="Calibri"/>
          <w:sz w:val="24"/>
          <w:szCs w:val="24"/>
          <w:lang w:val="ro-MD"/>
        </w:rPr>
        <w:t xml:space="preserve"> a mediului de afaceri în general </w:t>
      </w:r>
      <w:proofErr w:type="spellStart"/>
      <w:r w:rsidRPr="00312485">
        <w:rPr>
          <w:rFonts w:eastAsia="Calibri"/>
          <w:sz w:val="24"/>
          <w:szCs w:val="24"/>
          <w:lang w:val="ro-MD"/>
        </w:rPr>
        <w:t>şi</w:t>
      </w:r>
      <w:proofErr w:type="spellEnd"/>
      <w:r w:rsidRPr="00312485">
        <w:rPr>
          <w:rFonts w:eastAsia="Calibri"/>
          <w:sz w:val="24"/>
          <w:szCs w:val="24"/>
          <w:lang w:val="ro-MD"/>
        </w:rPr>
        <w:t xml:space="preserve">, prin urmare, reprezintă un factor important în atragerea investițiilor </w:t>
      </w:r>
      <w:proofErr w:type="spellStart"/>
      <w:r w:rsidRPr="00312485">
        <w:rPr>
          <w:rFonts w:eastAsia="Calibri"/>
          <w:sz w:val="24"/>
          <w:szCs w:val="24"/>
          <w:lang w:val="ro-MD"/>
        </w:rPr>
        <w:t>şi</w:t>
      </w:r>
      <w:proofErr w:type="spellEnd"/>
      <w:r w:rsidRPr="00312485">
        <w:rPr>
          <w:rFonts w:eastAsia="Calibri"/>
          <w:sz w:val="24"/>
          <w:szCs w:val="24"/>
          <w:lang w:val="ro-MD"/>
        </w:rPr>
        <w:t xml:space="preserve"> asigurarea competitivității exporturilor. Siguranța rutieră devine un scop în sine prin îmbunătățirea semnalizării cu indicatoare, sisteme de control al traficului, precum și </w:t>
      </w:r>
      <w:r w:rsidR="00C92582" w:rsidRPr="00312485">
        <w:rPr>
          <w:rFonts w:eastAsia="Calibri"/>
          <w:sz w:val="24"/>
          <w:szCs w:val="24"/>
          <w:lang w:val="ro-MD"/>
        </w:rPr>
        <w:t>efectuarea</w:t>
      </w:r>
      <w:r w:rsidRPr="00312485">
        <w:rPr>
          <w:rFonts w:eastAsia="Calibri"/>
          <w:sz w:val="24"/>
          <w:szCs w:val="24"/>
          <w:lang w:val="ro-MD"/>
        </w:rPr>
        <w:t xml:space="preserve"> auditurilor sistematice și a evaluărilor de risc în domeniul siguranței rutiere. În perspectivă, în urma implementării reformelor din Agenda de reforme aferente Planului de </w:t>
      </w:r>
      <w:r w:rsidR="00C92582" w:rsidRPr="00312485">
        <w:rPr>
          <w:rFonts w:eastAsia="Calibri"/>
          <w:sz w:val="24"/>
          <w:szCs w:val="24"/>
          <w:lang w:val="ro-MD"/>
        </w:rPr>
        <w:t>creștere</w:t>
      </w:r>
      <w:r w:rsidRPr="00312485">
        <w:rPr>
          <w:rFonts w:eastAsia="Calibri"/>
          <w:sz w:val="24"/>
          <w:szCs w:val="24"/>
          <w:lang w:val="ro-MD"/>
        </w:rPr>
        <w:t xml:space="preserve"> a Republicii Moldova, infrastructura rutieră este indispensabilă pentru valorificarea potențialului de export al producătorilor autohtoni.  </w:t>
      </w:r>
    </w:p>
    <w:p w14:paraId="26011DF2" w14:textId="77777777" w:rsidR="00541CCB" w:rsidRPr="00312485" w:rsidRDefault="00541CCB" w:rsidP="00541CCB">
      <w:pPr>
        <w:ind w:firstLine="567"/>
        <w:rPr>
          <w:rFonts w:eastAsia="Calibri"/>
          <w:bCs/>
          <w:i/>
          <w:sz w:val="24"/>
          <w:szCs w:val="24"/>
          <w:lang w:val="ro-MD"/>
        </w:rPr>
      </w:pPr>
      <w:r w:rsidRPr="00312485">
        <w:rPr>
          <w:rFonts w:eastAsia="Calibri"/>
          <w:bCs/>
          <w:i/>
          <w:sz w:val="24"/>
          <w:szCs w:val="24"/>
          <w:lang w:val="ro-MD"/>
        </w:rPr>
        <w:t>Principalele priorități și acțiuni în acest sens pentru anii 2026-2028 sunt:</w:t>
      </w:r>
    </w:p>
    <w:p w14:paraId="13E68DE1" w14:textId="086FDDC0" w:rsidR="00541CCB" w:rsidRPr="00312485" w:rsidRDefault="00541CCB" w:rsidP="00CC6394">
      <w:pPr>
        <w:pStyle w:val="Listparagraf"/>
        <w:numPr>
          <w:ilvl w:val="0"/>
          <w:numId w:val="6"/>
        </w:numPr>
        <w:ind w:left="0" w:firstLine="540"/>
        <w:rPr>
          <w:rFonts w:eastAsia="Calibri"/>
          <w:bCs/>
          <w:i/>
          <w:sz w:val="24"/>
          <w:szCs w:val="24"/>
          <w:lang w:val="ro-MD"/>
        </w:rPr>
      </w:pPr>
      <w:r w:rsidRPr="00312485">
        <w:rPr>
          <w:rFonts w:eastAsia="Calibri"/>
          <w:bCs/>
          <w:sz w:val="24"/>
          <w:szCs w:val="24"/>
          <w:lang w:val="ro-MD"/>
        </w:rPr>
        <w:t xml:space="preserve">modernizarea și implementarea unui sistem integrat de </w:t>
      </w:r>
      <w:r w:rsidR="00C92582" w:rsidRPr="00312485">
        <w:rPr>
          <w:rFonts w:eastAsia="Calibri"/>
          <w:bCs/>
          <w:sz w:val="24"/>
          <w:szCs w:val="24"/>
          <w:lang w:val="ro-MD"/>
        </w:rPr>
        <w:t>management</w:t>
      </w:r>
      <w:r w:rsidRPr="00312485">
        <w:rPr>
          <w:rFonts w:eastAsia="Calibri"/>
          <w:bCs/>
          <w:sz w:val="24"/>
          <w:szCs w:val="24"/>
          <w:lang w:val="ro-MD"/>
        </w:rPr>
        <w:t xml:space="preserve"> al transportului rutier de mărfuri și persoane</w:t>
      </w:r>
      <w:r w:rsidR="005E4F88">
        <w:rPr>
          <w:rFonts w:eastAsia="Calibri"/>
          <w:bCs/>
          <w:sz w:val="24"/>
          <w:szCs w:val="24"/>
          <w:lang w:val="ro-MD"/>
        </w:rPr>
        <w:t>;</w:t>
      </w:r>
      <w:r w:rsidRPr="00312485">
        <w:rPr>
          <w:rFonts w:eastAsia="Calibri"/>
          <w:bCs/>
          <w:sz w:val="24"/>
          <w:szCs w:val="24"/>
          <w:lang w:val="ro-MD"/>
        </w:rPr>
        <w:t xml:space="preserve"> </w:t>
      </w:r>
    </w:p>
    <w:p w14:paraId="0EDDB6BA" w14:textId="7289C6ED" w:rsidR="00541CCB" w:rsidRPr="00312485" w:rsidRDefault="00C92582" w:rsidP="00CC6394">
      <w:pPr>
        <w:pStyle w:val="Listparagraf"/>
        <w:numPr>
          <w:ilvl w:val="0"/>
          <w:numId w:val="1"/>
        </w:numPr>
        <w:ind w:left="0" w:right="95" w:firstLine="567"/>
        <w:rPr>
          <w:sz w:val="24"/>
          <w:szCs w:val="24"/>
          <w:lang w:val="ro-MD"/>
        </w:rPr>
      </w:pPr>
      <w:r w:rsidRPr="00312485">
        <w:rPr>
          <w:rFonts w:eastAsia="Calibri"/>
          <w:bCs/>
          <w:sz w:val="24"/>
          <w:szCs w:val="24"/>
          <w:lang w:val="ro-MD"/>
        </w:rPr>
        <w:t>modernizarea</w:t>
      </w:r>
      <w:r w:rsidR="00541CCB" w:rsidRPr="00312485">
        <w:rPr>
          <w:rFonts w:eastAsia="Calibri"/>
          <w:bCs/>
          <w:sz w:val="24"/>
          <w:szCs w:val="24"/>
          <w:lang w:val="ro-MD"/>
        </w:rPr>
        <w:t xml:space="preserve"> infrastructurii de transport, inclusiv Trans-Europene (TEN-T)  și asigurarea durabilității investițiilor prin </w:t>
      </w:r>
      <w:r w:rsidR="00541CCB" w:rsidRPr="00312485">
        <w:rPr>
          <w:sz w:val="24"/>
          <w:szCs w:val="24"/>
          <w:lang w:val="ro-MD"/>
        </w:rPr>
        <w:t xml:space="preserve">reparația </w:t>
      </w:r>
      <w:proofErr w:type="spellStart"/>
      <w:r w:rsidR="00541CCB" w:rsidRPr="00312485">
        <w:rPr>
          <w:sz w:val="24"/>
          <w:szCs w:val="24"/>
          <w:lang w:val="ro-MD"/>
        </w:rPr>
        <w:t>şi</w:t>
      </w:r>
      <w:proofErr w:type="spellEnd"/>
      <w:r w:rsidR="00541CCB" w:rsidRPr="00312485">
        <w:rPr>
          <w:sz w:val="24"/>
          <w:szCs w:val="24"/>
          <w:lang w:val="ro-MD"/>
        </w:rPr>
        <w:t xml:space="preserve"> întreținerea corespunzătoare a rețelei de drumuri publice prin intermediul finanțării din fondul rutier și aducerea acestora în stare bună;</w:t>
      </w:r>
    </w:p>
    <w:p w14:paraId="6AB7A3B5" w14:textId="6A5FF4D4"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 xml:space="preserve">îmbunătățirea </w:t>
      </w:r>
      <w:r w:rsidR="00CF5CBB" w:rsidRPr="00312485">
        <w:rPr>
          <w:sz w:val="24"/>
          <w:szCs w:val="24"/>
          <w:lang w:val="ro-MD"/>
        </w:rPr>
        <w:t>conectivității</w:t>
      </w:r>
      <w:r w:rsidRPr="00312485">
        <w:rPr>
          <w:sz w:val="24"/>
          <w:szCs w:val="24"/>
          <w:lang w:val="ro-MD"/>
        </w:rPr>
        <w:t xml:space="preserve"> transporturilor prin intermediul unei rețele feroviare, eficiente, reabilitate și modernizate; </w:t>
      </w:r>
    </w:p>
    <w:p w14:paraId="2210420E" w14:textId="77777777" w:rsidR="00541CCB" w:rsidRPr="00312485" w:rsidRDefault="00541CCB" w:rsidP="00CC6394">
      <w:pPr>
        <w:numPr>
          <w:ilvl w:val="0"/>
          <w:numId w:val="1"/>
        </w:numPr>
        <w:ind w:left="0" w:firstLine="567"/>
        <w:rPr>
          <w:sz w:val="24"/>
          <w:szCs w:val="24"/>
          <w:lang w:val="ro-MD"/>
        </w:rPr>
      </w:pPr>
      <w:r w:rsidRPr="00312485">
        <w:rPr>
          <w:sz w:val="24"/>
          <w:szCs w:val="24"/>
          <w:lang w:val="ro-MD"/>
        </w:rPr>
        <w:t>reabilitarea/consolidarea și construcția podurilor rutiere de frontieră peste râul Prut;</w:t>
      </w:r>
    </w:p>
    <w:p w14:paraId="64C2CAC1" w14:textId="44647379" w:rsidR="00541CCB" w:rsidRPr="00312485" w:rsidRDefault="00541CCB" w:rsidP="00CC6394">
      <w:pPr>
        <w:numPr>
          <w:ilvl w:val="0"/>
          <w:numId w:val="1"/>
        </w:numPr>
        <w:ind w:left="0" w:firstLine="567"/>
        <w:contextualSpacing/>
        <w:rPr>
          <w:sz w:val="24"/>
          <w:szCs w:val="24"/>
          <w:lang w:val="ro-MD"/>
        </w:rPr>
      </w:pPr>
      <w:r w:rsidRPr="00312485">
        <w:rPr>
          <w:sz w:val="24"/>
          <w:szCs w:val="24"/>
          <w:lang w:val="ro-MD"/>
        </w:rPr>
        <w:t>reabilitarea și construirea drumurilor publice naționale în scopul creșterii cu 7%, a drumurilor naționale îmbunătățite și transferate la categoria de drumuri în stare „bună” și „foarte bună”.</w:t>
      </w:r>
    </w:p>
    <w:p w14:paraId="1FE94CBF" w14:textId="53C4BDC3" w:rsidR="00541CCB" w:rsidRPr="00312485" w:rsidRDefault="00541CCB" w:rsidP="00541CCB">
      <w:pPr>
        <w:ind w:firstLine="567"/>
        <w:rPr>
          <w:i/>
          <w:sz w:val="24"/>
          <w:szCs w:val="24"/>
          <w:lang w:val="ro-MD"/>
        </w:rPr>
      </w:pPr>
      <w:r w:rsidRPr="00312485">
        <w:rPr>
          <w:i/>
          <w:sz w:val="24"/>
          <w:szCs w:val="24"/>
          <w:lang w:val="ro-MD"/>
        </w:rPr>
        <w:t>În contextul măsurilor și acțiunilor planificate pentru anii 2026-2028 acestea se propun a fi implementate prin:</w:t>
      </w:r>
    </w:p>
    <w:p w14:paraId="5431EDD0"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în contextul implementării programului de siguranță rutieră, numărul accidentelor rutiere     soldate cu decese și traumatisme grave va fi redus cu 20% față de 2024; </w:t>
      </w:r>
    </w:p>
    <w:p w14:paraId="1A7D27C5"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va fi instituită o autoritate competentă pentru autorizarea ocupației de operator de transport rutier și se va fi introdus sistemul de certificare a managerilor de transport, iar sistemul de autorizare a operatorilor de transport internațional este pe deplin operațional;</w:t>
      </w:r>
    </w:p>
    <w:p w14:paraId="4E6B76EC" w14:textId="243D8A49"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Întreprinderea de Stat „Calea Ferată din Moldova” va fi reorganizată în două societăți pe acțiuni, Societatea pe Acțiuni „CFM Infra” și Societatea pe Acțiuni „Pasageri și Marfă”</w:t>
      </w:r>
      <w:r w:rsidR="007F6F1D">
        <w:rPr>
          <w:sz w:val="24"/>
          <w:szCs w:val="24"/>
          <w:lang w:val="ro-MD" w:eastAsia="ru-RU"/>
        </w:rPr>
        <w:t>;</w:t>
      </w:r>
    </w:p>
    <w:p w14:paraId="0BBE2B15" w14:textId="4EB22B19"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construcția terminalului logistic </w:t>
      </w:r>
      <w:r w:rsidR="00CF5CBB" w:rsidRPr="00312485">
        <w:rPr>
          <w:sz w:val="24"/>
          <w:szCs w:val="24"/>
          <w:lang w:val="ro-MD" w:eastAsia="ru-RU"/>
        </w:rPr>
        <w:t>multinodal</w:t>
      </w:r>
      <w:r w:rsidRPr="00312485">
        <w:rPr>
          <w:sz w:val="24"/>
          <w:szCs w:val="24"/>
          <w:lang w:val="ro-MD" w:eastAsia="ru-RU"/>
        </w:rPr>
        <w:t xml:space="preserve"> Chișinău; </w:t>
      </w:r>
    </w:p>
    <w:p w14:paraId="198774F6" w14:textId="09178BEA"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conexiunea căii ferate cu Aeroportul Internațional Chișinău </w:t>
      </w:r>
      <w:r w:rsidR="007F6F1D">
        <w:rPr>
          <w:sz w:val="24"/>
          <w:szCs w:val="24"/>
          <w:lang w:val="ro-MD" w:eastAsia="ru-RU"/>
        </w:rPr>
        <w:t>„</w:t>
      </w:r>
      <w:r w:rsidRPr="00312485">
        <w:rPr>
          <w:sz w:val="24"/>
          <w:szCs w:val="24"/>
          <w:lang w:val="ro-MD" w:eastAsia="ru-RU"/>
        </w:rPr>
        <w:t xml:space="preserve">Eugen </w:t>
      </w:r>
      <w:proofErr w:type="spellStart"/>
      <w:r w:rsidRPr="00312485">
        <w:rPr>
          <w:sz w:val="24"/>
          <w:szCs w:val="24"/>
          <w:lang w:val="ro-MD" w:eastAsia="ru-RU"/>
        </w:rPr>
        <w:t>Doga</w:t>
      </w:r>
      <w:proofErr w:type="spellEnd"/>
      <w:r w:rsidRPr="00312485">
        <w:rPr>
          <w:sz w:val="24"/>
          <w:szCs w:val="24"/>
          <w:lang w:val="ro-MD" w:eastAsia="ru-RU"/>
        </w:rPr>
        <w:t>”;</w:t>
      </w:r>
    </w:p>
    <w:p w14:paraId="7C9EBAE9"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reabilitarea drumului național R13 Bălți-Florești care va facilita accesul către Aeroportul International „Mărculești”;</w:t>
      </w:r>
    </w:p>
    <w:p w14:paraId="707569AA" w14:textId="64A15924"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lastRenderedPageBreak/>
        <w:t>reabilitarea sectorului de drum R7, R14 – Drochia – Costești – frontiera cu România, inclusiv construcția drumul</w:t>
      </w:r>
      <w:r w:rsidR="006D26E6" w:rsidRPr="00312485">
        <w:rPr>
          <w:sz w:val="24"/>
          <w:szCs w:val="24"/>
          <w:lang w:val="ro-MD" w:eastAsia="ru-RU"/>
        </w:rPr>
        <w:t>ui de acces către podul Cosăuți.</w:t>
      </w:r>
    </w:p>
    <w:p w14:paraId="636383AF" w14:textId="77777777" w:rsidR="00541CCB" w:rsidRPr="00312485" w:rsidRDefault="00541CCB" w:rsidP="00541CCB">
      <w:pPr>
        <w:ind w:firstLine="491"/>
        <w:rPr>
          <w:sz w:val="24"/>
          <w:szCs w:val="24"/>
          <w:lang w:val="ro-MD"/>
        </w:rPr>
      </w:pPr>
    </w:p>
    <w:p w14:paraId="7BBFC42F" w14:textId="77777777" w:rsidR="00541CCB" w:rsidRPr="00312485" w:rsidRDefault="00541CCB" w:rsidP="00541CCB">
      <w:pPr>
        <w:ind w:left="709" w:hanging="142"/>
        <w:contextualSpacing/>
        <w:rPr>
          <w:b/>
          <w:i/>
          <w:sz w:val="24"/>
          <w:szCs w:val="24"/>
          <w:lang w:val="ro-MD"/>
        </w:rPr>
      </w:pPr>
      <w:r w:rsidRPr="00312485">
        <w:rPr>
          <w:b/>
          <w:i/>
          <w:sz w:val="24"/>
          <w:szCs w:val="24"/>
          <w:lang w:val="ro-MD"/>
        </w:rPr>
        <w:t>Comunicații (14)</w:t>
      </w:r>
    </w:p>
    <w:p w14:paraId="06D649B2" w14:textId="77777777" w:rsidR="00541CCB" w:rsidRPr="00312485" w:rsidRDefault="00541CCB" w:rsidP="00541CCB">
      <w:pPr>
        <w:ind w:left="-90" w:firstLine="657"/>
        <w:contextualSpacing/>
        <w:rPr>
          <w:sz w:val="24"/>
          <w:szCs w:val="24"/>
          <w:lang w:val="ro-MD" w:eastAsia="en-GB"/>
        </w:rPr>
      </w:pPr>
      <w:r w:rsidRPr="00312485">
        <w:rPr>
          <w:sz w:val="24"/>
          <w:szCs w:val="24"/>
          <w:lang w:val="ro-MD" w:eastAsia="en-GB"/>
        </w:rPr>
        <w:t>Sectorul comunicațiilor are o importanță strategică, fiind esențial pentru dezvoltarea durabilă și furnizarea de servicii rapide și de calitate. Politicile actuale vizează crearea unui sector sustenabil, care să contribuie la creșterea productivității economice, eficientizarea administrației publice și îmbunătățirea accesului cetățenilor la serviciile publice.</w:t>
      </w:r>
    </w:p>
    <w:p w14:paraId="65D5E6A3" w14:textId="77777777" w:rsidR="00541CCB" w:rsidRPr="00312485" w:rsidRDefault="00541CCB" w:rsidP="00541CCB">
      <w:pPr>
        <w:pStyle w:val="NormalWeb"/>
        <w:spacing w:after="240"/>
        <w:ind w:firstLine="540"/>
        <w:contextualSpacing/>
        <w:rPr>
          <w:lang w:val="ro-MD"/>
        </w:rPr>
      </w:pPr>
      <w:r w:rsidRPr="00312485">
        <w:rPr>
          <w:lang w:val="ro-MD"/>
        </w:rPr>
        <w:t xml:space="preserve">Reforma urmărește modernizarea conectivității digitale în Moldova prin extinderea infrastructurii TIC, asigurarea accesului universal la internet de mare viteză și stimularea incluziunii digitale. </w:t>
      </w:r>
    </w:p>
    <w:p w14:paraId="59FDE52A" w14:textId="7BB6813F" w:rsidR="00541CCB" w:rsidRPr="00312485" w:rsidRDefault="00541CCB" w:rsidP="00C92582">
      <w:pPr>
        <w:pStyle w:val="NormalWeb"/>
        <w:ind w:firstLine="540"/>
        <w:contextualSpacing/>
        <w:rPr>
          <w:rFonts w:eastAsia="Calibri"/>
          <w:bCs/>
          <w:i/>
          <w:color w:val="000000"/>
          <w:lang w:val="ro-MD"/>
        </w:rPr>
      </w:pPr>
      <w:r w:rsidRPr="00312485">
        <w:rPr>
          <w:rFonts w:eastAsia="Calibri"/>
          <w:bCs/>
          <w:i/>
          <w:color w:val="000000"/>
          <w:lang w:val="ro-MD"/>
        </w:rPr>
        <w:t>Principalele priorități și acțiuni planificate în vedere</w:t>
      </w:r>
      <w:r w:rsidR="00626DFF">
        <w:rPr>
          <w:rFonts w:eastAsia="Calibri"/>
          <w:bCs/>
          <w:i/>
          <w:color w:val="000000"/>
          <w:lang w:val="ro-MD"/>
        </w:rPr>
        <w:t>a</w:t>
      </w:r>
      <w:r w:rsidRPr="00312485">
        <w:rPr>
          <w:rFonts w:eastAsia="Calibri"/>
          <w:bCs/>
          <w:i/>
          <w:color w:val="000000"/>
          <w:lang w:val="ro-MD"/>
        </w:rPr>
        <w:t xml:space="preserve"> îndeplinirii obiectivelor:</w:t>
      </w:r>
    </w:p>
    <w:p w14:paraId="7C4D4FF3" w14:textId="7117B67D"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a</w:t>
      </w:r>
      <w:r w:rsidR="00541CCB" w:rsidRPr="00312485">
        <w:rPr>
          <w:sz w:val="24"/>
          <w:szCs w:val="24"/>
          <w:lang w:val="ro-MD"/>
        </w:rPr>
        <w:t>sigurarea unui acces universal la internet pe bandă largă, la prețuri accesibile pentru toate categoriile de populație, dezvoltarea infrastructurii TIC în fiecare localitate și stimularea investițiilor pentru a sprijini incluziunea digital</w:t>
      </w:r>
      <w:r w:rsidR="00626DFF">
        <w:rPr>
          <w:sz w:val="24"/>
          <w:szCs w:val="24"/>
          <w:lang w:val="ro-MD"/>
        </w:rPr>
        <w:t>ă</w:t>
      </w:r>
      <w:r w:rsidR="00541CCB" w:rsidRPr="00312485">
        <w:rPr>
          <w:sz w:val="24"/>
          <w:szCs w:val="24"/>
          <w:lang w:val="ro-MD"/>
        </w:rPr>
        <w:t xml:space="preserve"> și transformarea economică;</w:t>
      </w:r>
    </w:p>
    <w:p w14:paraId="3D01195C" w14:textId="78C022B5"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c</w:t>
      </w:r>
      <w:r w:rsidR="00541CCB" w:rsidRPr="00312485">
        <w:rPr>
          <w:sz w:val="24"/>
          <w:szCs w:val="24"/>
          <w:lang w:val="ro-MD"/>
        </w:rPr>
        <w:t>onsolidarea capacităților de comunicare a instituțiilor statului;</w:t>
      </w:r>
    </w:p>
    <w:p w14:paraId="6E36B077" w14:textId="5DD33F27"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c</w:t>
      </w:r>
      <w:r w:rsidR="00541CCB" w:rsidRPr="00312485">
        <w:rPr>
          <w:sz w:val="24"/>
          <w:szCs w:val="24"/>
          <w:lang w:val="ro-MD"/>
        </w:rPr>
        <w:t>onsolidarea relației dintre diaspora și autoritățile publice prin mecanisme de comunicare și implicare active, valorificând potențialul uman al diasporei în dezvoltarea țării;</w:t>
      </w:r>
    </w:p>
    <w:p w14:paraId="431CC176" w14:textId="76431853"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d</w:t>
      </w:r>
      <w:r w:rsidR="00541CCB" w:rsidRPr="00312485">
        <w:rPr>
          <w:sz w:val="24"/>
          <w:szCs w:val="24"/>
          <w:lang w:val="ro-MD"/>
        </w:rPr>
        <w:t>igitalizarea și modernizarea serviciilor publice;</w:t>
      </w:r>
    </w:p>
    <w:p w14:paraId="4136AC00" w14:textId="14575247"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d</w:t>
      </w:r>
      <w:r w:rsidR="00541CCB" w:rsidRPr="00312485">
        <w:rPr>
          <w:sz w:val="24"/>
          <w:szCs w:val="24"/>
          <w:lang w:val="ro-MD"/>
        </w:rPr>
        <w:t>ezvoltarea serviciilor poștale moderne și competitive.</w:t>
      </w:r>
    </w:p>
    <w:p w14:paraId="6971578F" w14:textId="77777777" w:rsidR="00541CCB" w:rsidRPr="00312485" w:rsidRDefault="00541CCB" w:rsidP="00F80ACB">
      <w:pPr>
        <w:ind w:firstLine="567"/>
        <w:contextualSpacing/>
        <w:rPr>
          <w:i/>
          <w:sz w:val="24"/>
          <w:szCs w:val="24"/>
          <w:lang w:val="ro-MD"/>
        </w:rPr>
      </w:pPr>
      <w:r w:rsidRPr="00312485">
        <w:rPr>
          <w:i/>
          <w:sz w:val="24"/>
          <w:szCs w:val="24"/>
          <w:lang w:val="ro-MD"/>
        </w:rPr>
        <w:t>În contextul măsurilor și acțiunilor planificate pentru anii 2026-2028 acestea se propun a fi implementate prin:</w:t>
      </w:r>
    </w:p>
    <w:p w14:paraId="3C3907CE" w14:textId="623E1711"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îmbunătățirea vitezei și partajarea infrastructurii conectivității digitale prin punerea în aplicare a Codului UE al comunicațiilor electronice. Stabilitatea conexiunii la internet va fi de 2 ms</w:t>
      </w:r>
      <w:r w:rsidR="00945674">
        <w:rPr>
          <w:sz w:val="24"/>
          <w:szCs w:val="24"/>
          <w:lang w:val="ro-MD" w:eastAsia="ru-RU"/>
        </w:rPr>
        <w:t>,</w:t>
      </w:r>
      <w:r w:rsidRPr="00312485">
        <w:rPr>
          <w:sz w:val="24"/>
          <w:szCs w:val="24"/>
          <w:lang w:val="ro-MD" w:eastAsia="ru-RU"/>
        </w:rPr>
        <w:t xml:space="preserve"> iar procentul de infrastructură care este partajată de cel puțin 3%; </w:t>
      </w:r>
    </w:p>
    <w:p w14:paraId="72ED312A"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consolidarea rezilienței rețelelor din Moldova prin alinierea deplină la setul de instrumente 5G, care include: adoptarea cadrului normativ adecvat pentru implementarea setului de instrumente 5G; evaluarea activelor și furnizorilor și identificarea furnizorilor cu risc ridicat; </w:t>
      </w:r>
    </w:p>
    <w:p w14:paraId="10841577"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serviciul guvernamental de identitate și semnătură electronică (aplicația </w:t>
      </w:r>
      <w:proofErr w:type="spellStart"/>
      <w:r w:rsidRPr="00312485">
        <w:rPr>
          <w:sz w:val="24"/>
          <w:szCs w:val="24"/>
          <w:lang w:val="ro-MD" w:eastAsia="ru-RU"/>
        </w:rPr>
        <w:t>EvoSign</w:t>
      </w:r>
      <w:proofErr w:type="spellEnd"/>
      <w:r w:rsidRPr="00312485">
        <w:rPr>
          <w:sz w:val="24"/>
          <w:szCs w:val="24"/>
          <w:lang w:val="ro-MD" w:eastAsia="ru-RU"/>
        </w:rPr>
        <w:t>), în calitate de portofel digital național al Republicii Moldova, va fi aliniat la standardele UE privind identitate digitală;</w:t>
      </w:r>
    </w:p>
    <w:p w14:paraId="36383DCA" w14:textId="19F07E45"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alinierea Republicii Moldova la cadrul UE privind identitatea digitală (</w:t>
      </w:r>
      <w:proofErr w:type="spellStart"/>
      <w:r w:rsidRPr="00312485">
        <w:rPr>
          <w:sz w:val="24"/>
          <w:szCs w:val="24"/>
          <w:lang w:val="ro-MD" w:eastAsia="ru-RU"/>
        </w:rPr>
        <w:t>eIDAS</w:t>
      </w:r>
      <w:proofErr w:type="spellEnd"/>
      <w:r w:rsidRPr="00312485">
        <w:rPr>
          <w:sz w:val="24"/>
          <w:szCs w:val="24"/>
          <w:lang w:val="ro-MD" w:eastAsia="ru-RU"/>
        </w:rPr>
        <w:t xml:space="preserve"> 2) și integrarea a  cel puțin 20 de servicii electronice naționale</w:t>
      </w:r>
      <w:r w:rsidR="00F80ACB" w:rsidRPr="00312485">
        <w:rPr>
          <w:sz w:val="24"/>
          <w:szCs w:val="24"/>
          <w:lang w:val="ro-MD" w:eastAsia="ru-RU"/>
        </w:rPr>
        <w:t xml:space="preserve"> în cadrul serviciului </w:t>
      </w:r>
      <w:proofErr w:type="spellStart"/>
      <w:r w:rsidR="00F80ACB" w:rsidRPr="00312485">
        <w:rPr>
          <w:sz w:val="24"/>
          <w:szCs w:val="24"/>
          <w:lang w:val="ro-MD" w:eastAsia="ru-RU"/>
        </w:rPr>
        <w:t>EvoSign</w:t>
      </w:r>
      <w:proofErr w:type="spellEnd"/>
      <w:r w:rsidR="00F80ACB" w:rsidRPr="00312485">
        <w:rPr>
          <w:sz w:val="24"/>
          <w:szCs w:val="24"/>
          <w:lang w:val="ro-MD" w:eastAsia="ru-RU"/>
        </w:rPr>
        <w:t>;</w:t>
      </w:r>
    </w:p>
    <w:p w14:paraId="26A733C5" w14:textId="0B652E3B"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asigurarea funcționării la capacitate deplină a Agenției Naționale pentru Securitate    Cibernetică și </w:t>
      </w:r>
      <w:r w:rsidR="00C92582" w:rsidRPr="00312485">
        <w:rPr>
          <w:sz w:val="24"/>
          <w:szCs w:val="24"/>
          <w:lang w:val="ro-MD" w:eastAsia="ru-RU"/>
        </w:rPr>
        <w:t>înființarea</w:t>
      </w:r>
      <w:r w:rsidRPr="00312485">
        <w:rPr>
          <w:sz w:val="24"/>
          <w:szCs w:val="24"/>
          <w:lang w:val="ro-MD" w:eastAsia="ru-RU"/>
        </w:rPr>
        <w:t xml:space="preserve"> echipei de răspuns la inc</w:t>
      </w:r>
      <w:r w:rsidR="00C92582" w:rsidRPr="00312485">
        <w:rPr>
          <w:sz w:val="24"/>
          <w:szCs w:val="24"/>
          <w:lang w:val="ro-MD" w:eastAsia="ru-RU"/>
        </w:rPr>
        <w:t>identele legate de securitatea a</w:t>
      </w:r>
      <w:r w:rsidRPr="00312485">
        <w:rPr>
          <w:sz w:val="24"/>
          <w:szCs w:val="24"/>
          <w:lang w:val="ro-MD" w:eastAsia="ru-RU"/>
        </w:rPr>
        <w:t xml:space="preserve"> </w:t>
      </w:r>
      <w:r w:rsidR="00C92582" w:rsidRPr="00312485">
        <w:rPr>
          <w:sz w:val="24"/>
          <w:szCs w:val="24"/>
          <w:lang w:val="ro-MD" w:eastAsia="ru-RU"/>
        </w:rPr>
        <w:t>calculatoarelor</w:t>
      </w:r>
      <w:r w:rsidRPr="00312485">
        <w:rPr>
          <w:sz w:val="24"/>
          <w:szCs w:val="24"/>
          <w:lang w:val="ro-MD" w:eastAsia="ru-RU"/>
        </w:rPr>
        <w:t xml:space="preserve"> (CERT). </w:t>
      </w:r>
    </w:p>
    <w:p w14:paraId="7779C7AF" w14:textId="77777777" w:rsidR="00541CCB" w:rsidRPr="00312485" w:rsidRDefault="00541CCB" w:rsidP="00541CCB">
      <w:pPr>
        <w:ind w:left="308"/>
        <w:rPr>
          <w:b/>
          <w:i/>
          <w:sz w:val="24"/>
          <w:szCs w:val="24"/>
          <w:lang w:val="ro-MD"/>
        </w:rPr>
      </w:pPr>
    </w:p>
    <w:p w14:paraId="15EE6A7B" w14:textId="77777777" w:rsidR="00541CCB" w:rsidRPr="00312485" w:rsidRDefault="00541CCB" w:rsidP="00541CCB">
      <w:pPr>
        <w:ind w:left="709" w:hanging="142"/>
        <w:rPr>
          <w:b/>
          <w:i/>
          <w:sz w:val="24"/>
          <w:szCs w:val="24"/>
          <w:lang w:val="ro-MD"/>
        </w:rPr>
      </w:pPr>
      <w:r w:rsidRPr="00312485">
        <w:rPr>
          <w:b/>
          <w:i/>
          <w:sz w:val="24"/>
          <w:szCs w:val="24"/>
          <w:lang w:val="ro-MD"/>
        </w:rPr>
        <w:t xml:space="preserve"> Turism (15)</w:t>
      </w:r>
    </w:p>
    <w:p w14:paraId="6114C649" w14:textId="67B3EBEE" w:rsidR="007723C4" w:rsidRPr="00312485" w:rsidRDefault="00541CCB" w:rsidP="007723C4">
      <w:pPr>
        <w:rPr>
          <w:rFonts w:eastAsia="Calibri"/>
          <w:color w:val="000000"/>
          <w:sz w:val="24"/>
          <w:szCs w:val="24"/>
          <w:lang w:val="ro-MD"/>
        </w:rPr>
      </w:pPr>
      <w:r w:rsidRPr="00312485">
        <w:rPr>
          <w:rFonts w:eastAsia="Calibri"/>
          <w:color w:val="000000"/>
          <w:sz w:val="24"/>
          <w:szCs w:val="24"/>
          <w:lang w:val="ro-MD"/>
        </w:rPr>
        <w:t xml:space="preserve">Sectorul turismului joacă un rol semnificativ în dezvoltarea economică a Republicii Moldova. </w:t>
      </w:r>
      <w:r w:rsidR="007723C4" w:rsidRPr="00312485">
        <w:rPr>
          <w:rFonts w:eastAsia="Calibri"/>
          <w:color w:val="000000"/>
          <w:sz w:val="24"/>
          <w:szCs w:val="24"/>
          <w:lang w:val="ro-MD"/>
        </w:rPr>
        <w:t>Astfel, reformele incluse în Planul de creștere pentru Moldova 2025-2027, urmăresc drept obiectiv creșterea competitivității turismului moldovenesc prin promovarea practicilor durabile, diversificarea ofertei și atragerea turiștilor interni și internaționali. Aceste inițiative vor contribui la promovarea patrimoniului natural și la creșterea veniturilor locale prin servicii turistice sustenabile.</w:t>
      </w:r>
    </w:p>
    <w:p w14:paraId="59F45477" w14:textId="3B82E5D4" w:rsidR="00541CCB" w:rsidRPr="00312485" w:rsidRDefault="00541CCB" w:rsidP="00AA52CD">
      <w:pPr>
        <w:ind w:firstLine="567"/>
        <w:rPr>
          <w:rFonts w:eastAsia="Calibri"/>
          <w:i/>
          <w:color w:val="000000"/>
          <w:sz w:val="24"/>
          <w:szCs w:val="24"/>
          <w:lang w:val="ro-MD"/>
        </w:rPr>
      </w:pPr>
      <w:r w:rsidRPr="00312485">
        <w:rPr>
          <w:rFonts w:eastAsia="Calibri"/>
          <w:i/>
          <w:color w:val="000000"/>
          <w:sz w:val="24"/>
          <w:szCs w:val="24"/>
          <w:lang w:val="ro-MD"/>
        </w:rPr>
        <w:t xml:space="preserve">Principalele </w:t>
      </w:r>
      <w:r w:rsidR="002C76C0">
        <w:rPr>
          <w:rFonts w:eastAsia="Calibri"/>
          <w:i/>
          <w:color w:val="000000"/>
          <w:sz w:val="24"/>
          <w:szCs w:val="24"/>
          <w:lang w:val="ro-MD"/>
        </w:rPr>
        <w:t>măsuri</w:t>
      </w:r>
      <w:r w:rsidRPr="00312485">
        <w:rPr>
          <w:rFonts w:eastAsia="Calibri"/>
          <w:i/>
          <w:color w:val="000000"/>
          <w:sz w:val="24"/>
          <w:szCs w:val="24"/>
          <w:lang w:val="ro-MD"/>
        </w:rPr>
        <w:t xml:space="preserve"> și acțiuni planificate în vederea îndeplinirii obiectivelor:</w:t>
      </w:r>
    </w:p>
    <w:p w14:paraId="0D593B64" w14:textId="075270A6"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 xml:space="preserve">valorificarea </w:t>
      </w:r>
      <w:r w:rsidR="00C92582" w:rsidRPr="00312485">
        <w:rPr>
          <w:sz w:val="24"/>
          <w:szCs w:val="24"/>
          <w:lang w:val="ro-MD"/>
        </w:rPr>
        <w:t>inovațiilor</w:t>
      </w:r>
      <w:r w:rsidRPr="00312485">
        <w:rPr>
          <w:sz w:val="24"/>
          <w:szCs w:val="24"/>
          <w:lang w:val="ro-MD"/>
        </w:rPr>
        <w:t xml:space="preserve"> digitale în promovarea turismului;</w:t>
      </w:r>
    </w:p>
    <w:p w14:paraId="33481CDB"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aplicarea inteligenței artificiale și digitalizarea patrimoniului cultural aferent turismului;</w:t>
      </w:r>
    </w:p>
    <w:p w14:paraId="7087D9DE"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îmbunătățirea infrastructurii pentru a facilita accesul vizitatorilor la atracțiile turistice.</w:t>
      </w:r>
    </w:p>
    <w:p w14:paraId="26BE1176" w14:textId="77777777" w:rsidR="00541CCB" w:rsidRPr="00312485" w:rsidRDefault="00541CCB" w:rsidP="00541CCB">
      <w:pPr>
        <w:ind w:firstLine="491"/>
        <w:rPr>
          <w:rFonts w:eastAsia="Calibri"/>
          <w:i/>
          <w:color w:val="000000"/>
          <w:sz w:val="24"/>
          <w:szCs w:val="24"/>
          <w:lang w:val="ro-MD"/>
        </w:rPr>
      </w:pPr>
      <w:r w:rsidRPr="00312485">
        <w:rPr>
          <w:rFonts w:eastAsia="Calibri"/>
          <w:i/>
          <w:color w:val="000000"/>
          <w:sz w:val="24"/>
          <w:szCs w:val="24"/>
          <w:lang w:val="ro-MD"/>
        </w:rPr>
        <w:lastRenderedPageBreak/>
        <w:t>În contextul măsurilor și acțiunilor planificate pentru anii 2026-2028 acestea se propun a fi implementate prin:</w:t>
      </w:r>
    </w:p>
    <w:p w14:paraId="64B0A06D"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implementarea planului strategic de diversificare a ofertei turistice, care va asigura creșterea numărului de turiști în Moldova cu 30%;</w:t>
      </w:r>
    </w:p>
    <w:p w14:paraId="67075727" w14:textId="3284E8F9"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implementarea Programului „Tichet </w:t>
      </w:r>
      <w:r w:rsidR="00945674">
        <w:rPr>
          <w:sz w:val="24"/>
          <w:szCs w:val="24"/>
          <w:lang w:val="ro-MD" w:eastAsia="ru-RU"/>
        </w:rPr>
        <w:t xml:space="preserve">de </w:t>
      </w:r>
      <w:proofErr w:type="spellStart"/>
      <w:r w:rsidR="00945674">
        <w:rPr>
          <w:sz w:val="24"/>
          <w:szCs w:val="24"/>
          <w:lang w:val="ro-MD" w:eastAsia="ru-RU"/>
        </w:rPr>
        <w:t>vacan</w:t>
      </w:r>
      <w:r w:rsidR="00945674">
        <w:rPr>
          <w:sz w:val="24"/>
          <w:szCs w:val="24"/>
          <w:lang w:val="ro-RO" w:eastAsia="ru-RU"/>
        </w:rPr>
        <w:t>ță</w:t>
      </w:r>
      <w:proofErr w:type="spellEnd"/>
      <w:r w:rsidR="00945674">
        <w:rPr>
          <w:sz w:val="24"/>
          <w:szCs w:val="24"/>
          <w:lang w:val="ro-RO" w:eastAsia="ru-RU"/>
        </w:rPr>
        <w:t>”</w:t>
      </w:r>
      <w:r w:rsidR="00945674">
        <w:rPr>
          <w:sz w:val="24"/>
          <w:szCs w:val="24"/>
          <w:lang w:val="ro-MD" w:eastAsia="ru-RU"/>
        </w:rPr>
        <w:t>;</w:t>
      </w:r>
    </w:p>
    <w:p w14:paraId="1FA7600B"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crearea și dezvoltarea Organizațiilor de Management al Destinațiilor;</w:t>
      </w:r>
    </w:p>
    <w:p w14:paraId="731C368C"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consolidarea capacităților organizațiilor culturale, a industriilor creative și promovarea produselor culturale naționale la nivel național și European;</w:t>
      </w:r>
    </w:p>
    <w:p w14:paraId="1C658DAD"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programe de consolidare a capacităților, asistență tehnică și financiară pentru ÎMM-uri în turism și servicii de călătorie.</w:t>
      </w:r>
    </w:p>
    <w:p w14:paraId="7EF8E037" w14:textId="16FC3034" w:rsidR="00541CCB" w:rsidRPr="00312485" w:rsidRDefault="00541CCB" w:rsidP="00541CCB">
      <w:pPr>
        <w:ind w:left="709" w:hanging="142"/>
        <w:rPr>
          <w:b/>
          <w:i/>
          <w:sz w:val="24"/>
          <w:szCs w:val="24"/>
          <w:lang w:val="ro-MD"/>
        </w:rPr>
      </w:pPr>
    </w:p>
    <w:p w14:paraId="2CBE8AED" w14:textId="77777777" w:rsidR="00541CCB" w:rsidRPr="00312485" w:rsidRDefault="00541CCB" w:rsidP="00541CCB">
      <w:pPr>
        <w:ind w:left="709" w:hanging="142"/>
        <w:rPr>
          <w:b/>
          <w:i/>
          <w:sz w:val="24"/>
          <w:szCs w:val="24"/>
          <w:lang w:val="ro-MD"/>
        </w:rPr>
      </w:pPr>
      <w:r w:rsidRPr="00312485">
        <w:rPr>
          <w:b/>
          <w:i/>
          <w:sz w:val="24"/>
          <w:szCs w:val="24"/>
          <w:lang w:val="ro-MD"/>
        </w:rPr>
        <w:t>Protecția mediului (16)</w:t>
      </w:r>
    </w:p>
    <w:p w14:paraId="24E48422" w14:textId="77777777" w:rsidR="00541CCB" w:rsidRPr="00312485" w:rsidRDefault="00541CCB" w:rsidP="00541CCB">
      <w:pPr>
        <w:tabs>
          <w:tab w:val="left" w:pos="403"/>
        </w:tabs>
        <w:ind w:firstLine="567"/>
        <w:rPr>
          <w:sz w:val="24"/>
          <w:szCs w:val="24"/>
          <w:lang w:val="ro-MD"/>
        </w:rPr>
      </w:pPr>
      <w:r w:rsidRPr="00312485">
        <w:rPr>
          <w:sz w:val="24"/>
          <w:szCs w:val="24"/>
          <w:lang w:val="ro-MD"/>
        </w:rPr>
        <w:t>Protejarea mediului reprezintă astăzi o necesitate urgentă, recunoscută la nivel regional și global, datorită influenței directe asupra sănătății populației, calității vieții, dezvoltării economice și sustenabilității generale. În Republica Moldova, însă, eforturile în acest domeniu sunt serios afectate de deficiențe structurale, capacități instituționale reduse și un cadru de reglementare neclar.  Aceste constrângeri, pe lângă altele, limitează capacitatea statului de a gestiona corect substanțele chimice, de a realiza evaluări eficiente de impact asupra mediului, de a aplica politici climatice și de a reacționa adecvat la incidente ecologice.</w:t>
      </w:r>
    </w:p>
    <w:p w14:paraId="6DADE49D" w14:textId="77777777" w:rsidR="00541CCB" w:rsidRPr="00312485" w:rsidRDefault="00541CCB" w:rsidP="00541CCB">
      <w:pPr>
        <w:tabs>
          <w:tab w:val="left" w:pos="403"/>
        </w:tabs>
        <w:ind w:firstLine="567"/>
        <w:rPr>
          <w:rFonts w:eastAsia="Calibri"/>
          <w:bCs/>
          <w:sz w:val="24"/>
          <w:szCs w:val="24"/>
          <w:lang w:val="ro-MD"/>
        </w:rPr>
      </w:pPr>
      <w:r w:rsidRPr="00312485">
        <w:rPr>
          <w:rFonts w:eastAsia="Calibri"/>
          <w:bCs/>
          <w:i/>
          <w:sz w:val="24"/>
          <w:szCs w:val="24"/>
          <w:lang w:val="ro-MD"/>
        </w:rPr>
        <w:t>Principalele priorități și acțiuni</w:t>
      </w:r>
      <w:r w:rsidRPr="00312485">
        <w:rPr>
          <w:rFonts w:eastAsia="Calibri"/>
          <w:bCs/>
          <w:sz w:val="24"/>
          <w:szCs w:val="24"/>
          <w:lang w:val="ro-MD"/>
        </w:rPr>
        <w:t xml:space="preserve"> </w:t>
      </w:r>
      <w:r w:rsidRPr="00312485">
        <w:rPr>
          <w:rFonts w:eastAsia="Calibri"/>
          <w:bCs/>
          <w:i/>
          <w:sz w:val="24"/>
          <w:szCs w:val="24"/>
          <w:lang w:val="ro-MD"/>
        </w:rPr>
        <w:t>planificate pentru anii 2026-2028 sunt</w:t>
      </w:r>
      <w:r w:rsidRPr="00312485">
        <w:rPr>
          <w:rFonts w:eastAsia="Calibri"/>
          <w:bCs/>
          <w:sz w:val="24"/>
          <w:szCs w:val="24"/>
          <w:lang w:val="ro-MD"/>
        </w:rPr>
        <w:t>:</w:t>
      </w:r>
    </w:p>
    <w:p w14:paraId="43285A30"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asigurarea gestionării integrate a resurselor de apă și a ecosistemelor acvatice în conformitate cu cerințele internaționale de mediu, inclusiv prin consolidarea dialogului cu România și Ucraina;</w:t>
      </w:r>
    </w:p>
    <w:p w14:paraId="7E18C6B7"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alinierea sistemului de autorizare de mediu la legislația UE și digitalizarea acestuia;</w:t>
      </w:r>
    </w:p>
    <w:p w14:paraId="178C4E2C"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extinderea suprafețelor acoperite cu păduri și reabilitarea pădurilor existente;</w:t>
      </w:r>
    </w:p>
    <w:p w14:paraId="7C9FB2D7"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crearea perdelelor forestiere de protecție și împădurirea fâșiilor riverane;</w:t>
      </w:r>
    </w:p>
    <w:p w14:paraId="159CDF8A"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instituirea unor mecanisme de conservare, restaurare și protecție a ariilor naturale protejate de stat, a biodiversității și a ecosistemelor naturale;</w:t>
      </w:r>
    </w:p>
    <w:p w14:paraId="3E38674E"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promovarea gestionării durabile a resurselor de acvacultură și înregistrarea de progrese în ceea ce privește colectarea de date în domeniul acvaculturii;</w:t>
      </w:r>
    </w:p>
    <w:p w14:paraId="14E001B1"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consolidarea gestionării riscurilor de dezastre și reziliența climatică a Republicii Moldova;</w:t>
      </w:r>
    </w:p>
    <w:p w14:paraId="70AD9B6B"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dezvoltarea sistemului de evaluare, monitorizare, raportare, control și responsabilizare a utilizării resurselor naturale;</w:t>
      </w:r>
    </w:p>
    <w:p w14:paraId="4F3059F2" w14:textId="20C332E7"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creșterea</w:t>
      </w:r>
      <w:r w:rsidR="00541CCB" w:rsidRPr="00312485">
        <w:rPr>
          <w:sz w:val="24"/>
          <w:szCs w:val="24"/>
          <w:lang w:val="ro-MD"/>
        </w:rPr>
        <w:t xml:space="preserve"> </w:t>
      </w:r>
      <w:r w:rsidRPr="00312485">
        <w:rPr>
          <w:sz w:val="24"/>
          <w:szCs w:val="24"/>
          <w:lang w:val="ro-MD"/>
        </w:rPr>
        <w:t>investițiilor</w:t>
      </w:r>
      <w:r w:rsidR="00541CCB" w:rsidRPr="00312485">
        <w:rPr>
          <w:sz w:val="24"/>
          <w:szCs w:val="24"/>
          <w:lang w:val="ro-MD"/>
        </w:rPr>
        <w:t xml:space="preserve"> în infrastructură </w:t>
      </w:r>
      <w:proofErr w:type="spellStart"/>
      <w:r w:rsidR="00541CCB" w:rsidRPr="00312485">
        <w:rPr>
          <w:sz w:val="24"/>
          <w:szCs w:val="24"/>
          <w:lang w:val="ro-MD"/>
        </w:rPr>
        <w:t>şi</w:t>
      </w:r>
      <w:proofErr w:type="spellEnd"/>
      <w:r w:rsidR="00541CCB" w:rsidRPr="00312485">
        <w:rPr>
          <w:sz w:val="24"/>
          <w:szCs w:val="24"/>
          <w:lang w:val="ro-MD"/>
        </w:rPr>
        <w:t xml:space="preserve"> servicii necesare pentru gestionarea </w:t>
      </w:r>
      <w:r w:rsidRPr="00312485">
        <w:rPr>
          <w:sz w:val="24"/>
          <w:szCs w:val="24"/>
          <w:lang w:val="ro-MD"/>
        </w:rPr>
        <w:t>deșeurilor</w:t>
      </w:r>
      <w:r w:rsidR="00541CCB" w:rsidRPr="00312485">
        <w:rPr>
          <w:sz w:val="24"/>
          <w:szCs w:val="24"/>
          <w:lang w:val="ro-MD"/>
        </w:rPr>
        <w:t xml:space="preserve"> în cadrul unui sistem integrat la nivel național; </w:t>
      </w:r>
    </w:p>
    <w:p w14:paraId="0CF77F58" w14:textId="3DBAB3B8" w:rsidR="00541CCB" w:rsidRPr="00312485" w:rsidRDefault="00C92582" w:rsidP="00CC6394">
      <w:pPr>
        <w:pStyle w:val="Listparagraf"/>
        <w:numPr>
          <w:ilvl w:val="0"/>
          <w:numId w:val="1"/>
        </w:numPr>
        <w:ind w:left="0" w:right="95" w:firstLine="567"/>
        <w:rPr>
          <w:sz w:val="24"/>
          <w:szCs w:val="24"/>
          <w:lang w:val="ro-MD"/>
        </w:rPr>
      </w:pPr>
      <w:r w:rsidRPr="00312485">
        <w:rPr>
          <w:sz w:val="24"/>
          <w:szCs w:val="24"/>
          <w:lang w:val="ro-MD"/>
        </w:rPr>
        <w:t>înființarea</w:t>
      </w:r>
      <w:r w:rsidR="00541CCB" w:rsidRPr="00312485">
        <w:rPr>
          <w:sz w:val="24"/>
          <w:szCs w:val="24"/>
          <w:lang w:val="ro-MD"/>
        </w:rPr>
        <w:t xml:space="preserve"> unui centru privind gestionarea </w:t>
      </w:r>
      <w:r w:rsidRPr="00312485">
        <w:rPr>
          <w:sz w:val="24"/>
          <w:szCs w:val="24"/>
          <w:lang w:val="ro-MD"/>
        </w:rPr>
        <w:t>deșeurilor</w:t>
      </w:r>
      <w:r w:rsidR="00541CCB" w:rsidRPr="00312485">
        <w:rPr>
          <w:sz w:val="24"/>
          <w:szCs w:val="24"/>
          <w:lang w:val="ro-MD"/>
        </w:rPr>
        <w:t xml:space="preserve"> periculoase;</w:t>
      </w:r>
    </w:p>
    <w:p w14:paraId="0DDD1210"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 xml:space="preserve">dezvoltarea sistemului de taxe de mediu </w:t>
      </w:r>
      <w:proofErr w:type="spellStart"/>
      <w:r w:rsidRPr="00312485">
        <w:rPr>
          <w:sz w:val="24"/>
          <w:szCs w:val="24"/>
          <w:lang w:val="ro-MD"/>
        </w:rPr>
        <w:t>şi</w:t>
      </w:r>
      <w:proofErr w:type="spellEnd"/>
      <w:r w:rsidRPr="00312485">
        <w:rPr>
          <w:sz w:val="24"/>
          <w:szCs w:val="24"/>
          <w:lang w:val="ro-MD"/>
        </w:rPr>
        <w:t xml:space="preserve"> plăți pentru poluare care să corespundă realităților cu cerințele UE; </w:t>
      </w:r>
    </w:p>
    <w:p w14:paraId="750AA10A" w14:textId="27FEC27E" w:rsidR="00541CCB" w:rsidRPr="00312485" w:rsidRDefault="00541CCB" w:rsidP="00C92582">
      <w:pPr>
        <w:tabs>
          <w:tab w:val="left" w:pos="567"/>
        </w:tabs>
        <w:rPr>
          <w:rFonts w:eastAsia="Calibri"/>
          <w:i/>
          <w:sz w:val="24"/>
          <w:szCs w:val="24"/>
          <w:lang w:val="ro-MD"/>
        </w:rPr>
      </w:pPr>
      <w:r w:rsidRPr="00312485">
        <w:rPr>
          <w:rFonts w:eastAsia="Calibri"/>
          <w:i/>
          <w:sz w:val="24"/>
          <w:szCs w:val="24"/>
          <w:lang w:val="ro-MD"/>
        </w:rPr>
        <w:t>În contextul măsurilor și acțiunilor planificate pentru anii 2026-2028 acestea se propun a fi implementate prin:</w:t>
      </w:r>
    </w:p>
    <w:p w14:paraId="33D0E36F"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reglementarea și aplicarea legislației de mediu consolidate prin atribuirea clară a funcțiilor-cheie instituțiilor responsabile, precum și prin aplicarea mecanismelor de control și evaluare, cu asigurarea personalului necesar pentru o implementare eficientă.</w:t>
      </w:r>
    </w:p>
    <w:p w14:paraId="6FB1FB41"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finalizarea reformei Fondului Național pentru Mediu, în special prin asigurarea unei finanțări adecvate, adoptarea unor norme și criterii de selecție clare și transparente pentru proiecte, instituirea unei comisii de evaluare și publicarea proiectelor care urmează să fie finanțate; </w:t>
      </w:r>
    </w:p>
    <w:p w14:paraId="1A00D5F7"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raportarea privind implementarea proiectelor din Fondul Național pentru Mediu; </w:t>
      </w:r>
    </w:p>
    <w:p w14:paraId="2D1D2731"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reabilitarea râurilor interne, digurilor de protecție a apelor, lacurilor de acumulare;</w:t>
      </w:r>
    </w:p>
    <w:p w14:paraId="5275610F"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lastRenderedPageBreak/>
        <w:t xml:space="preserve">asigurarea caracterului executoriu al noii Legi privind răspunderea pentru mediul înconjurător în conformitate cu Directiva 2004/35/CE; </w:t>
      </w:r>
    </w:p>
    <w:p w14:paraId="7C19699E"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instituirea unui sistem actualizat de plăți pentru poluarea mediului și de taxe pentru utilizarea resurselor naturale.</w:t>
      </w:r>
    </w:p>
    <w:p w14:paraId="3A0A3027" w14:textId="77777777" w:rsidR="008959B2" w:rsidRPr="00312485" w:rsidRDefault="008959B2" w:rsidP="00541CCB">
      <w:pPr>
        <w:ind w:left="709" w:hanging="142"/>
        <w:rPr>
          <w:b/>
          <w:i/>
          <w:sz w:val="24"/>
          <w:szCs w:val="24"/>
          <w:lang w:val="ro-MD"/>
        </w:rPr>
      </w:pPr>
    </w:p>
    <w:p w14:paraId="709AA6C4" w14:textId="14C08DBC" w:rsidR="00541CCB" w:rsidRPr="00312485" w:rsidRDefault="00541CCB" w:rsidP="00541CCB">
      <w:pPr>
        <w:ind w:left="709" w:hanging="142"/>
        <w:rPr>
          <w:b/>
          <w:i/>
          <w:sz w:val="24"/>
          <w:szCs w:val="24"/>
          <w:lang w:val="ro-MD"/>
        </w:rPr>
      </w:pPr>
      <w:r w:rsidRPr="00312485">
        <w:rPr>
          <w:b/>
          <w:i/>
          <w:sz w:val="24"/>
          <w:szCs w:val="24"/>
          <w:lang w:val="ro-MD"/>
        </w:rPr>
        <w:t>Gospodăria de locuințe (17)</w:t>
      </w:r>
    </w:p>
    <w:p w14:paraId="77FC8F6E" w14:textId="494699EC" w:rsidR="00541CCB" w:rsidRPr="00312485" w:rsidRDefault="00541CCB" w:rsidP="00541CCB">
      <w:pPr>
        <w:tabs>
          <w:tab w:val="left" w:pos="403"/>
        </w:tabs>
        <w:ind w:firstLine="567"/>
        <w:rPr>
          <w:rFonts w:eastAsia="Calibri"/>
          <w:sz w:val="24"/>
          <w:szCs w:val="24"/>
          <w:lang w:val="ro-MD"/>
        </w:rPr>
      </w:pPr>
      <w:r w:rsidRPr="00312485">
        <w:rPr>
          <w:rFonts w:eastAsia="Calibri"/>
          <w:sz w:val="24"/>
          <w:szCs w:val="24"/>
          <w:lang w:val="ro-MD"/>
        </w:rPr>
        <w:t>Accesul la servicii calitative de aprovizionare cu apă și sanitație reprezintă una dintre necesitățile de bază ale populației, fiind în același timp și un factor important pentru dezvoltarea economică, atractivitate turistică și un mediu ambiant ecologic. Ef</w:t>
      </w:r>
      <w:r w:rsidR="00F046DD" w:rsidRPr="00312485">
        <w:rPr>
          <w:rFonts w:eastAsia="Calibri"/>
          <w:sz w:val="24"/>
          <w:szCs w:val="24"/>
          <w:lang w:val="ro-MD"/>
        </w:rPr>
        <w:t>orturile Guvernului vor fi orien</w:t>
      </w:r>
      <w:r w:rsidRPr="00312485">
        <w:rPr>
          <w:rFonts w:eastAsia="Calibri"/>
          <w:sz w:val="24"/>
          <w:szCs w:val="24"/>
          <w:lang w:val="ro-MD"/>
        </w:rPr>
        <w:t>tate spre sporirea accesului populației la serviciil</w:t>
      </w:r>
      <w:r w:rsidR="00F046DD" w:rsidRPr="00312485">
        <w:rPr>
          <w:rFonts w:eastAsia="Calibri"/>
          <w:sz w:val="24"/>
          <w:szCs w:val="24"/>
          <w:lang w:val="ro-MD"/>
        </w:rPr>
        <w:t>e de aprovizionare cu apă și can</w:t>
      </w:r>
      <w:r w:rsidRPr="00312485">
        <w:rPr>
          <w:rFonts w:eastAsia="Calibri"/>
          <w:sz w:val="24"/>
          <w:szCs w:val="24"/>
          <w:lang w:val="ro-MD"/>
        </w:rPr>
        <w:t xml:space="preserve">alizare, în special în zonele rurale și consolidarea capacităților instituționale locale de </w:t>
      </w:r>
      <w:r w:rsidR="00F046DD" w:rsidRPr="00312485">
        <w:rPr>
          <w:rFonts w:eastAsia="Calibri"/>
          <w:sz w:val="24"/>
          <w:szCs w:val="24"/>
          <w:lang w:val="ro-MD"/>
        </w:rPr>
        <w:t>prestare</w:t>
      </w:r>
      <w:r w:rsidRPr="00312485">
        <w:rPr>
          <w:rFonts w:eastAsia="Calibri"/>
          <w:sz w:val="24"/>
          <w:szCs w:val="24"/>
          <w:lang w:val="ro-MD"/>
        </w:rPr>
        <w:t xml:space="preserve"> a serviciilor de apă. Una din provocările majore ale acestui sector este și lipsa documentelor normative în </w:t>
      </w:r>
      <w:r w:rsidR="00F046DD" w:rsidRPr="00312485">
        <w:rPr>
          <w:rFonts w:eastAsia="Calibri"/>
          <w:sz w:val="24"/>
          <w:szCs w:val="24"/>
          <w:lang w:val="ro-MD"/>
        </w:rPr>
        <w:t>construcții</w:t>
      </w:r>
      <w:r w:rsidRPr="00312485">
        <w:rPr>
          <w:rFonts w:eastAsia="Calibri"/>
          <w:sz w:val="24"/>
          <w:szCs w:val="24"/>
          <w:lang w:val="ro-MD"/>
        </w:rPr>
        <w:t xml:space="preserve"> armonizate cu standardele europene și lipsa /</w:t>
      </w:r>
      <w:r w:rsidR="00F046DD" w:rsidRPr="00312485">
        <w:rPr>
          <w:rFonts w:eastAsia="Calibri"/>
          <w:sz w:val="24"/>
          <w:szCs w:val="24"/>
          <w:lang w:val="ro-MD"/>
        </w:rPr>
        <w:t>nerespectarea</w:t>
      </w:r>
      <w:r w:rsidRPr="00312485">
        <w:rPr>
          <w:rFonts w:eastAsia="Calibri"/>
          <w:sz w:val="24"/>
          <w:szCs w:val="24"/>
          <w:lang w:val="ro-MD"/>
        </w:rPr>
        <w:t xml:space="preserve"> planurilor urbanistice generale ale localităților.  </w:t>
      </w:r>
    </w:p>
    <w:p w14:paraId="2F177442" w14:textId="738ACD1B" w:rsidR="00541CCB" w:rsidRPr="00312485" w:rsidRDefault="00541CCB" w:rsidP="00541CCB">
      <w:pPr>
        <w:tabs>
          <w:tab w:val="left" w:pos="403"/>
        </w:tabs>
        <w:ind w:firstLine="567"/>
        <w:rPr>
          <w:rFonts w:eastAsia="Calibri"/>
          <w:bCs/>
          <w:i/>
          <w:sz w:val="24"/>
          <w:szCs w:val="24"/>
          <w:lang w:val="ro-MD"/>
        </w:rPr>
      </w:pPr>
      <w:r w:rsidRPr="00312485">
        <w:rPr>
          <w:rFonts w:eastAsia="Calibri"/>
          <w:sz w:val="24"/>
          <w:szCs w:val="24"/>
          <w:lang w:val="ro-MD"/>
        </w:rPr>
        <w:t xml:space="preserve"> </w:t>
      </w:r>
      <w:r w:rsidRPr="00312485">
        <w:rPr>
          <w:rFonts w:eastAsia="Calibri"/>
          <w:bCs/>
          <w:i/>
          <w:sz w:val="24"/>
          <w:szCs w:val="24"/>
          <w:lang w:val="ro-MD"/>
        </w:rPr>
        <w:t>Principalele măsuri și acțiuni planificate în perioada anilor 202</w:t>
      </w:r>
      <w:r w:rsidR="00681F76">
        <w:rPr>
          <w:rFonts w:eastAsia="Calibri"/>
          <w:bCs/>
          <w:i/>
          <w:sz w:val="24"/>
          <w:szCs w:val="24"/>
          <w:lang w:val="ro-MD"/>
        </w:rPr>
        <w:t>6</w:t>
      </w:r>
      <w:r w:rsidRPr="00312485">
        <w:rPr>
          <w:rFonts w:eastAsia="Calibri"/>
          <w:bCs/>
          <w:i/>
          <w:sz w:val="24"/>
          <w:szCs w:val="24"/>
          <w:lang w:val="ro-MD"/>
        </w:rPr>
        <w:t>-202</w:t>
      </w:r>
      <w:r w:rsidR="00681F76">
        <w:rPr>
          <w:rFonts w:eastAsia="Calibri"/>
          <w:bCs/>
          <w:i/>
          <w:sz w:val="24"/>
          <w:szCs w:val="24"/>
          <w:lang w:val="ro-MD"/>
        </w:rPr>
        <w:t>8</w:t>
      </w:r>
      <w:r w:rsidRPr="00312485">
        <w:rPr>
          <w:rFonts w:eastAsia="Calibri"/>
          <w:bCs/>
          <w:i/>
          <w:sz w:val="24"/>
          <w:szCs w:val="24"/>
          <w:lang w:val="ro-MD"/>
        </w:rPr>
        <w:t xml:space="preserve">: </w:t>
      </w:r>
    </w:p>
    <w:p w14:paraId="31D3E736"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dezvoltarea infrastructurii regionale și locale de alimentare cu apă și canalizare, precum și construcția stațiilor de epurare;</w:t>
      </w:r>
    </w:p>
    <w:p w14:paraId="2959D74A" w14:textId="7E193DD2"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 xml:space="preserve"> armonizarea reglementărilor tehnice și a standardelor naționale în </w:t>
      </w:r>
      <w:r w:rsidR="00F046DD" w:rsidRPr="00312485">
        <w:rPr>
          <w:sz w:val="24"/>
          <w:szCs w:val="24"/>
          <w:lang w:val="ro-MD"/>
        </w:rPr>
        <w:t>domeniul</w:t>
      </w:r>
      <w:r w:rsidRPr="00312485">
        <w:rPr>
          <w:sz w:val="24"/>
          <w:szCs w:val="24"/>
          <w:lang w:val="ro-MD"/>
        </w:rPr>
        <w:t xml:space="preserve"> construcțiilor cu legislație, standardele europene și </w:t>
      </w:r>
      <w:proofErr w:type="spellStart"/>
      <w:r w:rsidRPr="00312485">
        <w:rPr>
          <w:sz w:val="24"/>
          <w:szCs w:val="24"/>
          <w:lang w:val="ro-MD"/>
        </w:rPr>
        <w:t>Eurocodurile</w:t>
      </w:r>
      <w:proofErr w:type="spellEnd"/>
      <w:r w:rsidRPr="00312485">
        <w:rPr>
          <w:sz w:val="24"/>
          <w:szCs w:val="24"/>
          <w:lang w:val="ro-MD"/>
        </w:rPr>
        <w:t>;</w:t>
      </w:r>
    </w:p>
    <w:p w14:paraId="76A4EF19"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consolidarea Fondului național pentru dezvoltarea sistemului de documente normative în construcții;</w:t>
      </w:r>
    </w:p>
    <w:p w14:paraId="30757B48" w14:textId="77777777"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asigurarea dezvoltării echilibrate și durabile a teritoriului în conformitate cu principiile amenajării teritoriului și urbanismului;</w:t>
      </w:r>
    </w:p>
    <w:p w14:paraId="022A50C3" w14:textId="3BC1F881" w:rsidR="00541CCB" w:rsidRPr="00312485" w:rsidRDefault="00541CCB" w:rsidP="00CC6394">
      <w:pPr>
        <w:pStyle w:val="Listparagraf"/>
        <w:numPr>
          <w:ilvl w:val="0"/>
          <w:numId w:val="1"/>
        </w:numPr>
        <w:ind w:left="0" w:right="95" w:firstLine="567"/>
        <w:rPr>
          <w:sz w:val="24"/>
          <w:szCs w:val="24"/>
          <w:lang w:val="ro-MD"/>
        </w:rPr>
      </w:pPr>
      <w:r w:rsidRPr="00312485">
        <w:rPr>
          <w:sz w:val="24"/>
          <w:szCs w:val="24"/>
          <w:lang w:val="ro-MD"/>
        </w:rPr>
        <w:t>îmbunătățirea calității și siguranței construcțiilor, activităților de amenajare a teritoriului și de urbanism, funcționării și exploatării obiectelor industriale periculoase.</w:t>
      </w:r>
    </w:p>
    <w:p w14:paraId="2C68F0C7" w14:textId="77777777" w:rsidR="00541CCB" w:rsidRPr="00312485" w:rsidRDefault="00541CCB" w:rsidP="00CC255E">
      <w:pPr>
        <w:tabs>
          <w:tab w:val="left" w:pos="403"/>
        </w:tabs>
        <w:rPr>
          <w:rFonts w:eastAsia="Calibri"/>
          <w:bCs/>
          <w:i/>
          <w:sz w:val="24"/>
          <w:szCs w:val="24"/>
          <w:lang w:val="ro-MD"/>
        </w:rPr>
      </w:pPr>
      <w:r w:rsidRPr="00312485">
        <w:rPr>
          <w:rFonts w:eastAsia="Calibri"/>
          <w:bCs/>
          <w:i/>
          <w:sz w:val="24"/>
          <w:szCs w:val="24"/>
          <w:lang w:val="ro-MD"/>
        </w:rPr>
        <w:t>În contextul măsurilor și acțiunilor planificate pentru anii 2026-2028 acestea se propun a fi implementate prin:</w:t>
      </w:r>
    </w:p>
    <w:p w14:paraId="50E9D504" w14:textId="3D730D5C"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construcția </w:t>
      </w:r>
      <w:r w:rsidR="00862A2E" w:rsidRPr="00312485">
        <w:rPr>
          <w:sz w:val="24"/>
          <w:szCs w:val="24"/>
          <w:lang w:val="ro-MD" w:eastAsia="ru-RU"/>
        </w:rPr>
        <w:t>apeductelor</w:t>
      </w:r>
      <w:r w:rsidRPr="00312485">
        <w:rPr>
          <w:sz w:val="24"/>
          <w:szCs w:val="24"/>
          <w:lang w:val="ro-MD" w:eastAsia="ru-RU"/>
        </w:rPr>
        <w:t xml:space="preserve"> magistrale și a rețelei interne în raioanele Cahul/Vulcănești și Râșcani;  </w:t>
      </w:r>
    </w:p>
    <w:p w14:paraId="359DD950" w14:textId="4CE0A476"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construcția stației de tratate a </w:t>
      </w:r>
      <w:r w:rsidR="00862A2E" w:rsidRPr="00312485">
        <w:rPr>
          <w:sz w:val="24"/>
          <w:szCs w:val="24"/>
          <w:lang w:val="ro-MD" w:eastAsia="ru-RU"/>
        </w:rPr>
        <w:t>apei</w:t>
      </w:r>
      <w:r w:rsidRPr="00312485">
        <w:rPr>
          <w:sz w:val="24"/>
          <w:szCs w:val="24"/>
          <w:lang w:val="ro-MD" w:eastAsia="ru-RU"/>
        </w:rPr>
        <w:t xml:space="preserve"> potabile în raionul R</w:t>
      </w:r>
      <w:r w:rsidR="00AA52CD" w:rsidRPr="00312485">
        <w:rPr>
          <w:sz w:val="24"/>
          <w:szCs w:val="24"/>
          <w:lang w:val="ro-MD" w:eastAsia="ru-RU"/>
        </w:rPr>
        <w:t>â</w:t>
      </w:r>
      <w:r w:rsidRPr="00312485">
        <w:rPr>
          <w:sz w:val="24"/>
          <w:szCs w:val="24"/>
          <w:lang w:val="ro-MD" w:eastAsia="ru-RU"/>
        </w:rPr>
        <w:t>șcani;</w:t>
      </w:r>
    </w:p>
    <w:p w14:paraId="03A6AA42" w14:textId="3E4FC33B"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construcția colectorului principal al rețelei de </w:t>
      </w:r>
      <w:r w:rsidR="00862A2E" w:rsidRPr="00312485">
        <w:rPr>
          <w:sz w:val="24"/>
          <w:szCs w:val="24"/>
          <w:lang w:val="ro-MD" w:eastAsia="ru-RU"/>
        </w:rPr>
        <w:t>canalizare</w:t>
      </w:r>
      <w:r w:rsidRPr="00312485">
        <w:rPr>
          <w:sz w:val="24"/>
          <w:szCs w:val="24"/>
          <w:lang w:val="ro-MD" w:eastAsia="ru-RU"/>
        </w:rPr>
        <w:t xml:space="preserve"> și a stației de epurare a apelor uzate în mun</w:t>
      </w:r>
      <w:r w:rsidR="00AA52CD" w:rsidRPr="00312485">
        <w:rPr>
          <w:sz w:val="24"/>
          <w:szCs w:val="24"/>
          <w:lang w:val="ro-MD" w:eastAsia="ru-RU"/>
        </w:rPr>
        <w:t xml:space="preserve">icipiile </w:t>
      </w:r>
      <w:r w:rsidRPr="00312485">
        <w:rPr>
          <w:sz w:val="24"/>
          <w:szCs w:val="24"/>
          <w:lang w:val="ro-MD" w:eastAsia="ru-RU"/>
        </w:rPr>
        <w:t>Soroca și Comrat;</w:t>
      </w:r>
    </w:p>
    <w:p w14:paraId="2BDE5170"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implementarea proiectelor de alimentare cu apă și canalizare, precum și construcția apeductului magistral Chișinău-Strășeni-Călărași care va permite ca populația din 329 de localități să aibă acces la servicii îmbunătățite de aprovizionare cu apă și sanitație prin construcția a 286 km de rețele de apeduct, 12,0 km de rețele de canalizare; </w:t>
      </w:r>
    </w:p>
    <w:p w14:paraId="0AE6F6A7"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elaborarea și aprobarea a 125 de documente normative în construcții;</w:t>
      </w:r>
    </w:p>
    <w:p w14:paraId="59912AA6" w14:textId="7777777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implementarea a 10 coduri și 444 de standarde europene;</w:t>
      </w:r>
    </w:p>
    <w:p w14:paraId="311E152C" w14:textId="157F2737" w:rsidR="00541CCB" w:rsidRPr="00312485" w:rsidRDefault="00541CCB" w:rsidP="00AC4E62">
      <w:pPr>
        <w:pStyle w:val="Listparagraf"/>
        <w:numPr>
          <w:ilvl w:val="0"/>
          <w:numId w:val="10"/>
        </w:numPr>
        <w:ind w:left="0" w:firstLine="426"/>
        <w:rPr>
          <w:sz w:val="24"/>
          <w:szCs w:val="24"/>
          <w:lang w:val="ro-MD" w:eastAsia="ru-RU"/>
        </w:rPr>
      </w:pPr>
      <w:r w:rsidRPr="00312485">
        <w:rPr>
          <w:sz w:val="24"/>
          <w:szCs w:val="24"/>
          <w:lang w:val="ro-MD" w:eastAsia="ru-RU"/>
        </w:rPr>
        <w:t xml:space="preserve">elaborarea a </w:t>
      </w:r>
      <w:r w:rsidR="00862A2E" w:rsidRPr="00312485">
        <w:rPr>
          <w:sz w:val="24"/>
          <w:szCs w:val="24"/>
          <w:lang w:val="ro-MD" w:eastAsia="ru-RU"/>
        </w:rPr>
        <w:t>două</w:t>
      </w:r>
      <w:r w:rsidRPr="00312485">
        <w:rPr>
          <w:sz w:val="24"/>
          <w:szCs w:val="24"/>
          <w:lang w:val="ro-MD" w:eastAsia="ru-RU"/>
        </w:rPr>
        <w:t xml:space="preserve"> secțiuni specializate ale Planului de Amenajare a Teritoriului.</w:t>
      </w:r>
    </w:p>
    <w:p w14:paraId="4A102EF7" w14:textId="6BEC2C05" w:rsidR="00383889" w:rsidRPr="00312485" w:rsidRDefault="00383889" w:rsidP="00383889">
      <w:pPr>
        <w:rPr>
          <w:sz w:val="24"/>
          <w:szCs w:val="24"/>
          <w:lang w:val="ro-MD" w:eastAsia="ru-RU"/>
        </w:rPr>
      </w:pPr>
    </w:p>
    <w:p w14:paraId="0B9E2AEE" w14:textId="60960965" w:rsidR="00383889" w:rsidRPr="00312485" w:rsidRDefault="00383889" w:rsidP="00383889">
      <w:pPr>
        <w:rPr>
          <w:b/>
          <w:i/>
          <w:sz w:val="24"/>
          <w:lang w:val="ro-MD"/>
        </w:rPr>
      </w:pPr>
      <w:r w:rsidRPr="00312485">
        <w:rPr>
          <w:b/>
          <w:i/>
          <w:sz w:val="24"/>
          <w:lang w:val="ro-MD"/>
        </w:rPr>
        <w:t>Sănătate</w:t>
      </w:r>
      <w:r w:rsidR="00BF2509" w:rsidRPr="00312485">
        <w:rPr>
          <w:b/>
          <w:i/>
          <w:sz w:val="24"/>
          <w:lang w:val="ro-MD"/>
        </w:rPr>
        <w:t xml:space="preserve"> (18)</w:t>
      </w:r>
    </w:p>
    <w:p w14:paraId="3C324090" w14:textId="77777777" w:rsidR="00332DBD" w:rsidRPr="00312485" w:rsidRDefault="00383889" w:rsidP="00332DBD">
      <w:pPr>
        <w:rPr>
          <w:sz w:val="24"/>
          <w:lang w:val="ro-MD"/>
        </w:rPr>
      </w:pPr>
      <w:r w:rsidRPr="00312485">
        <w:rPr>
          <w:sz w:val="24"/>
          <w:lang w:val="ro-MD"/>
        </w:rPr>
        <w:t xml:space="preserve">Sectorul sănătății reprezintă un domeniu strategic prioritar al dezvoltării naționale, având un rol fundamental în formarea și menținerea capitalului uman, creșterea productivității și asigurarea bunăstării populației. </w:t>
      </w:r>
      <w:r w:rsidR="00332DBD" w:rsidRPr="00312485">
        <w:rPr>
          <w:sz w:val="24"/>
          <w:lang w:val="ro-MD"/>
        </w:rPr>
        <w:t>Republica Moldova își propune transformarea sistemului de sănătate prin îmbunătățirea capacității instituționale și digitalizarea serviciilor medicale, construcția de spitale moderne regionale și creștere a accesului echitabil la servicii de calitate în conformitate cu standardele UE.</w:t>
      </w:r>
    </w:p>
    <w:p w14:paraId="6EE3B604" w14:textId="77777777" w:rsidR="00332DBD" w:rsidRPr="00312485" w:rsidRDefault="00332DBD" w:rsidP="00332DBD">
      <w:pPr>
        <w:rPr>
          <w:sz w:val="24"/>
          <w:lang w:val="ro-MD"/>
        </w:rPr>
      </w:pPr>
      <w:r w:rsidRPr="00312485">
        <w:rPr>
          <w:sz w:val="24"/>
          <w:lang w:val="ro-MD"/>
        </w:rPr>
        <w:t>Sectorul, analizat din perspectiva modului de gestionare a resurselor financiare publice, este marcat de o serie de provocări care determină Guvernul să acționeze ferm în următorii ani în direcția consolidării eficienței și eficacității programelor de sănătate.</w:t>
      </w:r>
    </w:p>
    <w:p w14:paraId="568EAB02" w14:textId="77777777" w:rsidR="00383889" w:rsidRPr="00312485" w:rsidRDefault="00383889" w:rsidP="002B3C01">
      <w:pPr>
        <w:ind w:firstLine="567"/>
        <w:rPr>
          <w:i/>
          <w:sz w:val="24"/>
          <w:lang w:val="ro-MD"/>
        </w:rPr>
      </w:pPr>
      <w:r w:rsidRPr="00312485">
        <w:rPr>
          <w:i/>
          <w:sz w:val="24"/>
          <w:lang w:val="ro-MD"/>
        </w:rPr>
        <w:lastRenderedPageBreak/>
        <w:t>Principalele măsuri și acțiuni planificate în perioada anilor 2026-2028:</w:t>
      </w:r>
    </w:p>
    <w:p w14:paraId="3A433E00" w14:textId="77777777" w:rsidR="00383889" w:rsidRPr="00312485" w:rsidRDefault="00383889" w:rsidP="00593409">
      <w:pPr>
        <w:pStyle w:val="Listparagraf"/>
        <w:numPr>
          <w:ilvl w:val="0"/>
          <w:numId w:val="43"/>
        </w:numPr>
        <w:spacing w:after="160"/>
        <w:ind w:left="0" w:firstLine="567"/>
        <w:jc w:val="left"/>
        <w:rPr>
          <w:sz w:val="24"/>
          <w:lang w:val="ro-MD"/>
        </w:rPr>
      </w:pPr>
      <w:r w:rsidRPr="00312485">
        <w:rPr>
          <w:sz w:val="24"/>
          <w:lang w:val="ro-MD"/>
        </w:rPr>
        <w:t>alinierea la standardele UE în domeniul sănătății și recunoașterea Cadrului European de Asigurări Sociale de Sănătate;</w:t>
      </w:r>
    </w:p>
    <w:p w14:paraId="40AE4A69"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acordarea unei atenții sporite domeniului de asistență medicală primară, în special Centrelor de Sănătate din zonele rurale;</w:t>
      </w:r>
    </w:p>
    <w:p w14:paraId="796971C3"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descentralizarea asistenței medicale specializate prin dezvoltarea unei rețele regionale integrate de trimitere;</w:t>
      </w:r>
    </w:p>
    <w:p w14:paraId="5D3E3AF4"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modernizare a instituțiilor medicale, prin investiții în reparații capitale și renovări;</w:t>
      </w:r>
    </w:p>
    <w:p w14:paraId="376878E2"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creșterea accesului pacienților la servicii de diagnostic (de laborator și imagistic), prin dotarea instituțiilor medicale cu echipamente de înaltă performanță;</w:t>
      </w:r>
    </w:p>
    <w:p w14:paraId="3DF25290"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introducerea sistemului național de licențiere a activității specialiștilor din domeniul sănătății;</w:t>
      </w:r>
    </w:p>
    <w:p w14:paraId="14563DB3"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consolidarea digitalizării sectorului sănătății prin implementarea dosarelor electronice de sănătate (DES) pentru cel puțin de 40% din populația asigurată;</w:t>
      </w:r>
    </w:p>
    <w:p w14:paraId="4B89B845"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szCs w:val="24"/>
          <w:lang w:val="ro-MD"/>
        </w:rPr>
        <w:t xml:space="preserve">digitalizarea sistemului de sănătate prin extinderea și interoperabilitatea sistemelor informatice existente, dezvoltarea unei platforme integrate de urmărire și repetare pentru </w:t>
      </w:r>
      <w:r w:rsidRPr="00312485">
        <w:rPr>
          <w:sz w:val="24"/>
          <w:lang w:val="ro-MD"/>
        </w:rPr>
        <w:t>sporirea accesului la tratamente pentru afecțiuni prioritare, cu un impact semnificativ asupra populației;</w:t>
      </w:r>
    </w:p>
    <w:p w14:paraId="7D6F0A67" w14:textId="77777777" w:rsidR="00383889" w:rsidRPr="00312485" w:rsidRDefault="00383889" w:rsidP="00593409">
      <w:pPr>
        <w:pStyle w:val="Listparagraf"/>
        <w:numPr>
          <w:ilvl w:val="0"/>
          <w:numId w:val="43"/>
        </w:numPr>
        <w:spacing w:after="160"/>
        <w:ind w:left="0" w:firstLine="567"/>
        <w:rPr>
          <w:sz w:val="24"/>
          <w:lang w:val="ro-MD"/>
        </w:rPr>
      </w:pPr>
      <w:r w:rsidRPr="00312485">
        <w:rPr>
          <w:sz w:val="24"/>
          <w:lang w:val="ro-MD"/>
        </w:rPr>
        <w:t>extinderea în continuare a accesului populației la medicamente și dispozitive medicale compensate.</w:t>
      </w:r>
    </w:p>
    <w:p w14:paraId="543536C8" w14:textId="788A9772" w:rsidR="002733EB" w:rsidRPr="00312485" w:rsidRDefault="002733EB" w:rsidP="002733EB">
      <w:pPr>
        <w:tabs>
          <w:tab w:val="left" w:pos="403"/>
        </w:tabs>
        <w:rPr>
          <w:rFonts w:eastAsia="Calibri"/>
          <w:b/>
          <w:i/>
          <w:sz w:val="24"/>
          <w:szCs w:val="24"/>
          <w:lang w:val="ro-MD"/>
        </w:rPr>
      </w:pPr>
      <w:r w:rsidRPr="00312485">
        <w:rPr>
          <w:rFonts w:eastAsia="Calibri"/>
          <w:b/>
          <w:i/>
          <w:sz w:val="24"/>
          <w:szCs w:val="24"/>
          <w:lang w:val="ro-MD"/>
        </w:rPr>
        <w:t>Tineret și sport (19)</w:t>
      </w:r>
    </w:p>
    <w:p w14:paraId="188379CA" w14:textId="1207BE8D" w:rsidR="002733EB" w:rsidRPr="00312485" w:rsidRDefault="002733EB" w:rsidP="002733EB">
      <w:pPr>
        <w:tabs>
          <w:tab w:val="left" w:pos="403"/>
        </w:tabs>
        <w:rPr>
          <w:rFonts w:eastAsia="Calibri"/>
          <w:sz w:val="24"/>
          <w:szCs w:val="24"/>
          <w:lang w:val="ro-MD"/>
        </w:rPr>
      </w:pPr>
      <w:r w:rsidRPr="00312485">
        <w:rPr>
          <w:rFonts w:eastAsia="Calibri"/>
          <w:sz w:val="24"/>
          <w:szCs w:val="24"/>
          <w:lang w:val="ro-MD"/>
        </w:rPr>
        <w:t>Pentru realizarea priorităților în domeniul tineretului și sportului, statul asigură funcționarea școlilor sportive din subordinea Ministerului Educației și Cercetării și autorităților administrației publice locale, organizarea și desfășurarea diferitor activități sportive conform Calendarului acțiunilor sportive naționale și internaționale, precum și susținerea proiectelor și programelor organizațiilor necomerciale de tineret prin intermediul Agenției Naționale pentru Dezvoltarea Programelor și Activității de Tineret.</w:t>
      </w:r>
      <w:r w:rsidR="008C31FA" w:rsidRPr="00312485">
        <w:rPr>
          <w:rFonts w:eastAsia="Calibri"/>
          <w:sz w:val="24"/>
          <w:szCs w:val="24"/>
          <w:lang w:val="ro-MD"/>
        </w:rPr>
        <w:t xml:space="preserve"> </w:t>
      </w:r>
      <w:r w:rsidR="008C31FA" w:rsidRPr="00E13ABB">
        <w:rPr>
          <w:rFonts w:eastAsia="Calibri"/>
          <w:sz w:val="24"/>
          <w:szCs w:val="24"/>
          <w:lang w:val="ro-MD"/>
        </w:rPr>
        <w:t>Guvernul își propune modernizarea și extinderea infrastructurii sportive, creșterea accesului la activități prin școli și implementarea unui mecanism clar și lipsit de subiectivism în procesul de acordare a premiilor pentru sportivi</w:t>
      </w:r>
      <w:r w:rsidR="0048272D" w:rsidRPr="00E13ABB">
        <w:rPr>
          <w:rFonts w:eastAsia="Calibri"/>
          <w:sz w:val="24"/>
          <w:szCs w:val="24"/>
          <w:lang w:val="ro-MD"/>
        </w:rPr>
        <w:t>.</w:t>
      </w:r>
    </w:p>
    <w:p w14:paraId="06E3F9C7" w14:textId="77777777" w:rsidR="002733EB" w:rsidRPr="00312485" w:rsidRDefault="002733EB" w:rsidP="0048272D">
      <w:pPr>
        <w:tabs>
          <w:tab w:val="left" w:pos="403"/>
        </w:tabs>
        <w:ind w:firstLine="567"/>
        <w:rPr>
          <w:rFonts w:eastAsia="Calibri"/>
          <w:i/>
          <w:sz w:val="24"/>
          <w:szCs w:val="24"/>
          <w:lang w:val="ro-MD"/>
        </w:rPr>
      </w:pPr>
      <w:r w:rsidRPr="00312485">
        <w:rPr>
          <w:rFonts w:eastAsia="Calibri"/>
          <w:i/>
          <w:sz w:val="24"/>
          <w:szCs w:val="24"/>
          <w:lang w:val="ro-MD"/>
        </w:rPr>
        <w:t xml:space="preserve">Principalele măsuri și acțiuni planificate pentru anii 2026-2028: </w:t>
      </w:r>
    </w:p>
    <w:p w14:paraId="72F1EE07" w14:textId="7CEF3481"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 xml:space="preserve"> reformarea educației fizice și sportului prin implementarea unui sistem de management informațional;</w:t>
      </w:r>
    </w:p>
    <w:p w14:paraId="46457F39" w14:textId="71F5E00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dezvoltarea sportului de performanță, a sportului în masă și susținerea asociațiilor și cluburilor sportive de utilitate publică;</w:t>
      </w:r>
    </w:p>
    <w:p w14:paraId="732E9122" w14:textId="5A72B11F"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modernizarea și dezvoltarea infrastructurii sportive;</w:t>
      </w:r>
    </w:p>
    <w:p w14:paraId="5C82C6FA" w14:textId="4455312B"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susținerea participării decizionale a tinerilor prin intermediul organelor de auto guvernanță în instituțiile de învățământ școlar și superior;</w:t>
      </w:r>
    </w:p>
    <w:p w14:paraId="201847F4" w14:textId="669B7B7C"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aplicarea în societate a inițiativelor de inovație socială, dezvoltarea și promovarea domeniului voluntariatului;</w:t>
      </w:r>
    </w:p>
    <w:p w14:paraId="5E8D1B07" w14:textId="711393F2"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finanțarea inițiativelor și proiectelor comunitare cu implicarea tinerilor;</w:t>
      </w:r>
    </w:p>
    <w:p w14:paraId="6652CF01" w14:textId="20ED70F4"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 xml:space="preserve">dezvoltarea infrastructurii și extinderea centrelor de tineret și </w:t>
      </w:r>
      <w:proofErr w:type="spellStart"/>
      <w:r w:rsidRPr="00312485">
        <w:rPr>
          <w:sz w:val="24"/>
          <w:szCs w:val="24"/>
          <w:lang w:val="ro-MD"/>
        </w:rPr>
        <w:t>after-school</w:t>
      </w:r>
      <w:proofErr w:type="spellEnd"/>
      <w:r w:rsidRPr="00312485">
        <w:rPr>
          <w:sz w:val="24"/>
          <w:szCs w:val="24"/>
          <w:lang w:val="ro-MD"/>
        </w:rPr>
        <w:t>.</w:t>
      </w:r>
    </w:p>
    <w:p w14:paraId="5DD14010" w14:textId="77777777" w:rsidR="00D75F77" w:rsidRPr="00312485" w:rsidRDefault="00D75F77" w:rsidP="002733EB">
      <w:pPr>
        <w:tabs>
          <w:tab w:val="left" w:pos="403"/>
        </w:tabs>
        <w:rPr>
          <w:rFonts w:eastAsia="Calibri"/>
          <w:b/>
          <w:sz w:val="24"/>
          <w:szCs w:val="24"/>
          <w:lang w:val="ro-MD"/>
        </w:rPr>
      </w:pPr>
    </w:p>
    <w:p w14:paraId="4CDDC76D" w14:textId="78F50A8C" w:rsidR="002733EB" w:rsidRPr="00312485" w:rsidRDefault="002733EB" w:rsidP="002733EB">
      <w:pPr>
        <w:tabs>
          <w:tab w:val="left" w:pos="403"/>
        </w:tabs>
        <w:rPr>
          <w:rFonts w:eastAsia="Calibri"/>
          <w:b/>
          <w:i/>
          <w:sz w:val="24"/>
          <w:szCs w:val="24"/>
          <w:lang w:val="ro-MD"/>
        </w:rPr>
      </w:pPr>
      <w:r w:rsidRPr="00312485">
        <w:rPr>
          <w:rFonts w:eastAsia="Calibri"/>
          <w:b/>
          <w:i/>
          <w:sz w:val="24"/>
          <w:szCs w:val="24"/>
          <w:lang w:val="ro-MD"/>
        </w:rPr>
        <w:t>Cultura (20)</w:t>
      </w:r>
    </w:p>
    <w:p w14:paraId="221E99C4" w14:textId="77777777" w:rsidR="004972C1" w:rsidRPr="00312485" w:rsidRDefault="002733EB" w:rsidP="004972C1">
      <w:pPr>
        <w:rPr>
          <w:rFonts w:eastAsia="Calibri"/>
          <w:sz w:val="24"/>
          <w:szCs w:val="24"/>
          <w:lang w:val="ro-MD"/>
        </w:rPr>
      </w:pPr>
      <w:r w:rsidRPr="00312485">
        <w:rPr>
          <w:rFonts w:eastAsia="Calibri"/>
          <w:sz w:val="24"/>
          <w:szCs w:val="24"/>
          <w:lang w:val="ro-MD"/>
        </w:rPr>
        <w:t>Cultura reprezintă un atu esențial pentru competitivitatea și atractivitatea economică regională, în timp ce patrimoniul cultural este un element-cheie al imaginii și identității orașelor și localităților rurale și, de multe ori, punctul forte al turismului urban.</w:t>
      </w:r>
      <w:r w:rsidR="004972C1" w:rsidRPr="00312485">
        <w:rPr>
          <w:rFonts w:eastAsia="Calibri"/>
          <w:sz w:val="24"/>
          <w:szCs w:val="24"/>
          <w:lang w:val="ro-MD"/>
        </w:rPr>
        <w:t xml:space="preserve"> Statul asigură susținerea activității instituțiilor teatral-concertistice, radiodifuzorului public IPNA Compania „</w:t>
      </w:r>
      <w:proofErr w:type="spellStart"/>
      <w:r w:rsidR="004972C1" w:rsidRPr="00312485">
        <w:rPr>
          <w:rFonts w:eastAsia="Calibri"/>
          <w:sz w:val="24"/>
          <w:szCs w:val="24"/>
          <w:lang w:val="ro-MD"/>
        </w:rPr>
        <w:t>Teleradio</w:t>
      </w:r>
      <w:proofErr w:type="spellEnd"/>
      <w:r w:rsidR="004972C1" w:rsidRPr="00312485">
        <w:rPr>
          <w:rFonts w:eastAsia="Calibri"/>
          <w:sz w:val="24"/>
          <w:szCs w:val="24"/>
          <w:lang w:val="ro-MD"/>
        </w:rPr>
        <w:t>-Moldova”, precum și susține proiectele și programele din domeniile culturii, mass-mediei și cinematografiei.</w:t>
      </w:r>
    </w:p>
    <w:p w14:paraId="0AFDBDF0" w14:textId="77777777" w:rsidR="004972C1" w:rsidRPr="00312485" w:rsidRDefault="004972C1" w:rsidP="004972C1">
      <w:pPr>
        <w:rPr>
          <w:rFonts w:eastAsia="Calibri"/>
          <w:iCs/>
          <w:sz w:val="24"/>
          <w:szCs w:val="24"/>
          <w:lang w:val="ro-MD"/>
        </w:rPr>
      </w:pPr>
      <w:r w:rsidRPr="00312485">
        <w:rPr>
          <w:sz w:val="24"/>
          <w:szCs w:val="24"/>
          <w:lang w:val="ro-MD"/>
        </w:rPr>
        <w:lastRenderedPageBreak/>
        <w:t xml:space="preserve">Astfel, scopul este de a implementa </w:t>
      </w:r>
      <w:r w:rsidRPr="00312485">
        <w:rPr>
          <w:i/>
          <w:sz w:val="24"/>
          <w:szCs w:val="24"/>
          <w:lang w:val="ro-MD"/>
        </w:rPr>
        <w:t xml:space="preserve">politicile de reformă în Planul de creștere </w:t>
      </w:r>
      <w:r w:rsidRPr="00312485">
        <w:rPr>
          <w:iCs/>
          <w:sz w:val="24"/>
          <w:szCs w:val="24"/>
          <w:lang w:val="ro-MD"/>
        </w:rPr>
        <w:t>prin restaurarea, reabilitarea, valorificarea monumentelor istorice și edificiilor culturale, precum și integrarea acestora în circuitele turistice.</w:t>
      </w:r>
    </w:p>
    <w:p w14:paraId="385B3ACF" w14:textId="77777777" w:rsidR="002733EB" w:rsidRPr="00312485" w:rsidRDefault="002733EB" w:rsidP="002733EB">
      <w:pPr>
        <w:tabs>
          <w:tab w:val="left" w:pos="403"/>
        </w:tabs>
        <w:rPr>
          <w:rFonts w:eastAsia="Calibri"/>
          <w:i/>
          <w:sz w:val="24"/>
          <w:szCs w:val="24"/>
          <w:lang w:val="ro-MD"/>
        </w:rPr>
      </w:pPr>
      <w:r w:rsidRPr="00312485">
        <w:rPr>
          <w:rFonts w:eastAsia="Calibri"/>
          <w:i/>
          <w:sz w:val="24"/>
          <w:szCs w:val="24"/>
          <w:lang w:val="ro-MD"/>
        </w:rPr>
        <w:t xml:space="preserve">Principalele măsuri și acțiuni planificate pentru anii 2026-2028: </w:t>
      </w:r>
    </w:p>
    <w:p w14:paraId="1EEBF383"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sprijinirea inițiativelor de promovare a culturii și creativității artistice, precum și fortificarea capacităților instituțiilor teatral-concertistice și biblioteconomice;</w:t>
      </w:r>
    </w:p>
    <w:p w14:paraId="5CE9BA09"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dezvoltarea capacităților în sectorul cultural prin facilitarea accesului la oportunități europene și internaționale, prin programul „Europa Creativă”;</w:t>
      </w:r>
    </w:p>
    <w:p w14:paraId="0D92D61F"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implementarea Programului național „Voucher cultural” pentru tineri;</w:t>
      </w:r>
    </w:p>
    <w:p w14:paraId="552D177C"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consolidarea mecanismelor de gestionare a patrimoniului cultural național și reabilitarea obiectelor de patrimoniu;</w:t>
      </w:r>
    </w:p>
    <w:p w14:paraId="3DEAE10A"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dezvoltarea și susținerea cinematografiei autohtone pentru integrarea patrimoniului cultural național în sistemul valorilor culturale europene;</w:t>
      </w:r>
    </w:p>
    <w:p w14:paraId="76C8132C"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consolidarea capacităților organizațiilor culturale, a industriilor creative și promovarea produselor culturale naționale la nivel național și european;</w:t>
      </w:r>
    </w:p>
    <w:p w14:paraId="74947751"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susținerea mass-mediei și fortificarea capacităților profesionale din domeniul mediatic;</w:t>
      </w:r>
    </w:p>
    <w:p w14:paraId="7EB253D6" w14:textId="77777777" w:rsidR="002733EB" w:rsidRPr="00312485" w:rsidRDefault="002733EB" w:rsidP="00CC6394">
      <w:pPr>
        <w:pStyle w:val="Listparagraf"/>
        <w:numPr>
          <w:ilvl w:val="0"/>
          <w:numId w:val="1"/>
        </w:numPr>
        <w:ind w:left="0" w:right="95" w:firstLine="567"/>
        <w:rPr>
          <w:sz w:val="24"/>
          <w:szCs w:val="24"/>
          <w:lang w:val="ro-MD"/>
        </w:rPr>
      </w:pPr>
      <w:r w:rsidRPr="00312485">
        <w:rPr>
          <w:sz w:val="24"/>
          <w:szCs w:val="24"/>
          <w:lang w:val="ro-MD"/>
        </w:rPr>
        <w:t>asigurarea accesului universal al populației la o diversitate de servicii media audiovizuale generaliste.</w:t>
      </w:r>
    </w:p>
    <w:p w14:paraId="5A62FC90" w14:textId="77777777" w:rsidR="000E749B" w:rsidRPr="00312485" w:rsidRDefault="000E749B" w:rsidP="002733EB">
      <w:pPr>
        <w:tabs>
          <w:tab w:val="left" w:pos="403"/>
        </w:tabs>
        <w:rPr>
          <w:rFonts w:eastAsia="Calibri"/>
          <w:sz w:val="24"/>
          <w:szCs w:val="24"/>
          <w:lang w:val="ro-MD"/>
        </w:rPr>
      </w:pPr>
    </w:p>
    <w:p w14:paraId="5E8253B5" w14:textId="41CF7F31" w:rsidR="001145F0" w:rsidRPr="00312485" w:rsidRDefault="001145F0" w:rsidP="000E749B">
      <w:pPr>
        <w:ind w:firstLine="567"/>
        <w:rPr>
          <w:rFonts w:eastAsia="Calibri"/>
          <w:b/>
          <w:i/>
          <w:sz w:val="24"/>
          <w:szCs w:val="24"/>
          <w:lang w:val="ro-MD"/>
        </w:rPr>
      </w:pPr>
      <w:r w:rsidRPr="00312485">
        <w:rPr>
          <w:rFonts w:eastAsia="Calibri"/>
          <w:b/>
          <w:i/>
          <w:sz w:val="24"/>
          <w:szCs w:val="24"/>
          <w:lang w:val="ro-MD"/>
        </w:rPr>
        <w:t>Educație</w:t>
      </w:r>
      <w:r w:rsidR="000E749B" w:rsidRPr="00312485">
        <w:rPr>
          <w:rFonts w:eastAsia="Calibri"/>
          <w:b/>
          <w:i/>
          <w:sz w:val="24"/>
          <w:szCs w:val="24"/>
          <w:lang w:val="ro-MD"/>
        </w:rPr>
        <w:t xml:space="preserve"> (21)</w:t>
      </w:r>
    </w:p>
    <w:p w14:paraId="48D22071" w14:textId="77777777" w:rsidR="001145F0" w:rsidRPr="00312485" w:rsidRDefault="001145F0" w:rsidP="000E749B">
      <w:pPr>
        <w:tabs>
          <w:tab w:val="left" w:pos="180"/>
          <w:tab w:val="left" w:pos="540"/>
        </w:tabs>
        <w:ind w:firstLine="567"/>
        <w:rPr>
          <w:sz w:val="24"/>
          <w:szCs w:val="24"/>
          <w:lang w:val="ro-MD"/>
        </w:rPr>
      </w:pPr>
      <w:r w:rsidRPr="00312485">
        <w:rPr>
          <w:sz w:val="24"/>
          <w:szCs w:val="24"/>
          <w:lang w:val="ro-MD"/>
        </w:rPr>
        <w:t>Educația reprezintă o prioritate națională, factorul de bază în crearea și transmiterea de noi cunoștințe și valori general-umane în dezvoltarea capitalului uman, în formarea conștiinței și identității naționale, în promovarea aspirațiilor de integrare europeană cu rol primordial în crearea premiselor pentru dezvoltarea umană durabilă și edificarea unei societăți bazate pe cunoaștere.</w:t>
      </w:r>
    </w:p>
    <w:p w14:paraId="40337926" w14:textId="77777777" w:rsidR="001145F0" w:rsidRPr="00312485" w:rsidRDefault="001145F0" w:rsidP="001145F0">
      <w:pPr>
        <w:tabs>
          <w:tab w:val="left" w:pos="180"/>
          <w:tab w:val="left" w:pos="540"/>
        </w:tabs>
        <w:ind w:firstLine="567"/>
        <w:rPr>
          <w:sz w:val="24"/>
          <w:szCs w:val="24"/>
          <w:lang w:val="ro-MD" w:eastAsia="ro-RO"/>
        </w:rPr>
      </w:pPr>
      <w:r w:rsidRPr="00312485">
        <w:rPr>
          <w:sz w:val="24"/>
          <w:szCs w:val="24"/>
          <w:lang w:val="ro-MD" w:eastAsia="ro-RO"/>
        </w:rPr>
        <w:t>Guvernul a dezvoltat o strategie extinsă de reformă a sistemului educațional pe termen lung, care acoperă toate nivelurile de învățământ, începând de la învățământul timpuriu și preșcolar și continuând cu învățământul primar, gimnazial, profesional tehnic și superior, până la învățarea pe tot parcursul vieții și recalificarea personalului în vârstă.</w:t>
      </w:r>
    </w:p>
    <w:p w14:paraId="11BB8870" w14:textId="77777777" w:rsidR="001145F0" w:rsidRPr="00312485" w:rsidRDefault="001145F0" w:rsidP="001145F0">
      <w:pPr>
        <w:tabs>
          <w:tab w:val="left" w:pos="180"/>
          <w:tab w:val="left" w:pos="540"/>
        </w:tabs>
        <w:ind w:firstLine="567"/>
        <w:rPr>
          <w:sz w:val="24"/>
          <w:szCs w:val="24"/>
          <w:lang w:val="ro-MD" w:eastAsia="ro-RO"/>
        </w:rPr>
      </w:pPr>
      <w:r w:rsidRPr="00312485">
        <w:rPr>
          <w:sz w:val="24"/>
          <w:szCs w:val="24"/>
          <w:lang w:val="ro-MD" w:eastAsia="ro-RO"/>
        </w:rPr>
        <w:t xml:space="preserve">Obiective strategice pentru următorii 3 ani reprezintă dezvoltarea structurilor de asistență psihopedagogică, îmbunătățirea sistemului de învățământ primar și secundar general, promovarea atractivității învățământului liceal și crearea rețelei școlilor model, internaționalizarea învățământului superior și garantarea incluziunii în sistemul de educație a persoanelor cu nevoi speciale. </w:t>
      </w:r>
    </w:p>
    <w:p w14:paraId="626DFE29" w14:textId="0E7FED4E" w:rsidR="001145F0" w:rsidRPr="00312485" w:rsidRDefault="001145F0" w:rsidP="00E7148A">
      <w:pPr>
        <w:tabs>
          <w:tab w:val="left" w:pos="180"/>
          <w:tab w:val="left" w:pos="403"/>
          <w:tab w:val="left" w:pos="540"/>
        </w:tabs>
        <w:ind w:firstLine="567"/>
        <w:rPr>
          <w:rFonts w:eastAsia="Calibri"/>
          <w:i/>
          <w:sz w:val="24"/>
          <w:szCs w:val="24"/>
          <w:lang w:val="ro-MD"/>
        </w:rPr>
      </w:pPr>
      <w:r w:rsidRPr="00312485">
        <w:rPr>
          <w:rFonts w:eastAsia="Calibri"/>
          <w:i/>
          <w:sz w:val="24"/>
          <w:szCs w:val="24"/>
          <w:lang w:val="ro-MD"/>
        </w:rPr>
        <w:t>Principalele măsuri și acțiuni planificate în perioada anilor 2026-2028:</w:t>
      </w:r>
    </w:p>
    <w:p w14:paraId="30BC640E"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dezvoltarea sistemului de educație timpurie prin creșterea locurilor noi în creșe, grădinițe și servicii alternative în zone cu creștere demografică;</w:t>
      </w:r>
    </w:p>
    <w:p w14:paraId="46573BE9"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 xml:space="preserve">reducerea deficitului de cadre didactice în instituțiile școlare și </w:t>
      </w:r>
      <w:proofErr w:type="spellStart"/>
      <w:r w:rsidRPr="00312485">
        <w:rPr>
          <w:sz w:val="24"/>
          <w:szCs w:val="24"/>
          <w:lang w:val="ro-MD"/>
        </w:rPr>
        <w:t>antepreșcolare</w:t>
      </w:r>
      <w:proofErr w:type="spellEnd"/>
      <w:r w:rsidRPr="00312485">
        <w:rPr>
          <w:sz w:val="24"/>
          <w:szCs w:val="24"/>
          <w:lang w:val="ro-MD"/>
        </w:rPr>
        <w:t>;</w:t>
      </w:r>
    </w:p>
    <w:p w14:paraId="1BA236C8"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creșterea accesului la educație de calitate pentru copiii din mediul rural;</w:t>
      </w:r>
    </w:p>
    <w:p w14:paraId="391C6807"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consolidarea mecanismelor de integrare a copiilor cu nevoi educaționale speciale;</w:t>
      </w:r>
    </w:p>
    <w:p w14:paraId="11CFB86D"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asigurarea integrării copiilor cu dizabilități severe;</w:t>
      </w:r>
    </w:p>
    <w:p w14:paraId="68E2E5F1"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dezvoltarea și operaționalizarea Cadrului Național al Calificărilor conform principiilor Cadrului European al Calificărilor;</w:t>
      </w:r>
    </w:p>
    <w:p w14:paraId="639C3F2B"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îmbunătățirea calității, relevanței și caracterului incluziv al educației prin îmbunătățirea accesului la învățământul obligatoriu și liceal - dezvoltarea rețelei școlilor model;</w:t>
      </w:r>
    </w:p>
    <w:p w14:paraId="7C302EAE"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dezvoltarea sistemului de învățământ superior pentru pregătirea specialiștilor conform cerințelor pieței muncii și promovarea internaționalizării învățământului superior;</w:t>
      </w:r>
    </w:p>
    <w:p w14:paraId="5F7BD626"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creșterea calității învățământului profesional-tehnic prin promovarea învățământului dual și racordarea la cerințele pieței muncii;</w:t>
      </w:r>
    </w:p>
    <w:p w14:paraId="2CD36345"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asigurarea calității și sustenabilității prin digitalizarea sistemului de educație;</w:t>
      </w:r>
    </w:p>
    <w:p w14:paraId="44942462"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lastRenderedPageBreak/>
        <w:t xml:space="preserve">dezvoltarea alfabetizării mediatice și a gândirii critice prin programe educaționale formale și </w:t>
      </w:r>
      <w:proofErr w:type="spellStart"/>
      <w:r w:rsidRPr="00312485">
        <w:rPr>
          <w:sz w:val="24"/>
          <w:szCs w:val="24"/>
          <w:lang w:val="ro-MD"/>
        </w:rPr>
        <w:t>nonformale</w:t>
      </w:r>
      <w:proofErr w:type="spellEnd"/>
      <w:r w:rsidRPr="00312485">
        <w:rPr>
          <w:sz w:val="24"/>
          <w:szCs w:val="24"/>
          <w:lang w:val="ro-MD"/>
        </w:rPr>
        <w:t>;</w:t>
      </w:r>
    </w:p>
    <w:p w14:paraId="0244A709"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îmbunătățirea sistemului de formare continuă;</w:t>
      </w:r>
    </w:p>
    <w:p w14:paraId="1EC8B92C"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 xml:space="preserve">extinderea ofertei de programe de învățare în context formal, </w:t>
      </w:r>
      <w:proofErr w:type="spellStart"/>
      <w:r w:rsidRPr="00312485">
        <w:rPr>
          <w:sz w:val="24"/>
          <w:szCs w:val="24"/>
          <w:lang w:val="ro-MD"/>
        </w:rPr>
        <w:t>nonformal</w:t>
      </w:r>
      <w:proofErr w:type="spellEnd"/>
      <w:r w:rsidRPr="00312485">
        <w:rPr>
          <w:sz w:val="24"/>
          <w:szCs w:val="24"/>
          <w:lang w:val="ro-MD"/>
        </w:rPr>
        <w:t xml:space="preserve"> și informal;</w:t>
      </w:r>
    </w:p>
    <w:p w14:paraId="1574899B" w14:textId="77777777" w:rsidR="001145F0" w:rsidRPr="00312485" w:rsidRDefault="001145F0" w:rsidP="001145F0">
      <w:pPr>
        <w:pStyle w:val="Listparagraf"/>
        <w:numPr>
          <w:ilvl w:val="0"/>
          <w:numId w:val="1"/>
        </w:numPr>
        <w:ind w:left="0" w:right="95" w:firstLine="567"/>
        <w:rPr>
          <w:sz w:val="24"/>
          <w:szCs w:val="24"/>
          <w:lang w:val="ro-MD"/>
        </w:rPr>
      </w:pPr>
      <w:r w:rsidRPr="00312485">
        <w:rPr>
          <w:sz w:val="24"/>
          <w:szCs w:val="24"/>
          <w:lang w:val="ro-MD"/>
        </w:rPr>
        <w:t xml:space="preserve">extinderea numărului de centre de recunoaștere, validare și certificare a competențelor profesionale obținute în contexte de educație </w:t>
      </w:r>
      <w:proofErr w:type="spellStart"/>
      <w:r w:rsidRPr="00312485">
        <w:rPr>
          <w:sz w:val="24"/>
          <w:szCs w:val="24"/>
          <w:lang w:val="ro-MD"/>
        </w:rPr>
        <w:t>nonformală</w:t>
      </w:r>
      <w:proofErr w:type="spellEnd"/>
      <w:r w:rsidRPr="00312485">
        <w:rPr>
          <w:sz w:val="24"/>
          <w:szCs w:val="24"/>
          <w:lang w:val="ro-MD"/>
        </w:rPr>
        <w:t xml:space="preserve"> și informală.</w:t>
      </w:r>
    </w:p>
    <w:p w14:paraId="52842A09" w14:textId="7E1095CC" w:rsidR="001145F0" w:rsidRDefault="001145F0" w:rsidP="00B66801">
      <w:pPr>
        <w:autoSpaceDE w:val="0"/>
        <w:autoSpaceDN w:val="0"/>
        <w:adjustRightInd w:val="0"/>
        <w:ind w:firstLine="0"/>
        <w:rPr>
          <w:sz w:val="24"/>
          <w:szCs w:val="24"/>
          <w:lang w:val="ro-MD"/>
        </w:rPr>
      </w:pPr>
    </w:p>
    <w:p w14:paraId="6C78BA41" w14:textId="3402ACC5" w:rsidR="0068527F" w:rsidRPr="00312485" w:rsidRDefault="0068527F" w:rsidP="006362A0">
      <w:pPr>
        <w:ind w:firstLine="720"/>
        <w:rPr>
          <w:b/>
          <w:i/>
          <w:color w:val="000000" w:themeColor="text1"/>
          <w:sz w:val="24"/>
          <w:szCs w:val="24"/>
          <w:shd w:val="clear" w:color="auto" w:fill="FFFFFF"/>
          <w:lang w:val="ro-MD"/>
        </w:rPr>
      </w:pPr>
      <w:r w:rsidRPr="00312485">
        <w:rPr>
          <w:b/>
          <w:i/>
          <w:color w:val="000000" w:themeColor="text1"/>
          <w:sz w:val="24"/>
          <w:szCs w:val="24"/>
          <w:shd w:val="clear" w:color="auto" w:fill="FFFFFF"/>
          <w:lang w:val="ro-MD"/>
        </w:rPr>
        <w:t>Protecția socială (22)</w:t>
      </w:r>
    </w:p>
    <w:p w14:paraId="6E8E4ADE" w14:textId="77777777" w:rsidR="0068527F" w:rsidRPr="00312485" w:rsidRDefault="0068527F" w:rsidP="006362A0">
      <w:pPr>
        <w:ind w:firstLine="720"/>
        <w:rPr>
          <w:sz w:val="24"/>
          <w:szCs w:val="24"/>
          <w:lang w:val="ro-MD"/>
        </w:rPr>
      </w:pPr>
      <w:r w:rsidRPr="00312485">
        <w:rPr>
          <w:sz w:val="24"/>
          <w:szCs w:val="24"/>
          <w:lang w:val="ro-MD"/>
        </w:rPr>
        <w:t xml:space="preserve">Protecția socială reprezintă pilonul fundamental al bunăstării sociale având drept scop sprijinirea celor mai vulnerabili membri ai societății. </w:t>
      </w:r>
    </w:p>
    <w:p w14:paraId="63DB1F35" w14:textId="77777777" w:rsidR="0068527F" w:rsidRPr="00312485" w:rsidRDefault="0068527F" w:rsidP="006362A0">
      <w:pPr>
        <w:ind w:firstLine="720"/>
        <w:rPr>
          <w:sz w:val="24"/>
          <w:szCs w:val="24"/>
          <w:lang w:val="ro-MD"/>
        </w:rPr>
      </w:pPr>
      <w:r w:rsidRPr="00312485">
        <w:rPr>
          <w:iCs/>
          <w:sz w:val="24"/>
          <w:szCs w:val="24"/>
          <w:lang w:val="ro-MD"/>
        </w:rPr>
        <w:t>Acest domeniu acoperă un ansamblu complex de politici, programe și servicii care contribuie la prevenirea, reducerea și depășirea riscurilor sociale, precum și la asigurarea unui trai decent pentru copii, persoane în etate, persoane cu dizabilități, familii cu venituri reduse și alte grupuri defavorizate.</w:t>
      </w:r>
    </w:p>
    <w:p w14:paraId="68491822" w14:textId="77777777" w:rsidR="0068527F" w:rsidRPr="00312485" w:rsidRDefault="0068527F" w:rsidP="006362A0">
      <w:pPr>
        <w:ind w:firstLine="720"/>
        <w:rPr>
          <w:sz w:val="24"/>
          <w:szCs w:val="24"/>
          <w:lang w:val="ro-MD"/>
        </w:rPr>
      </w:pPr>
      <w:r w:rsidRPr="00312485">
        <w:rPr>
          <w:sz w:val="24"/>
          <w:szCs w:val="24"/>
          <w:lang w:val="ro-MD"/>
        </w:rPr>
        <w:t>Într-un context marcat de provocări economice și sociale, Guvernul își propune să consolideze acest sector printr-o utilizare mai eficientă a resurselor publice, reorientarea cheltuielilor către programe cu impact ridicat și asigurarea unui echilibru sustenabil între reforme și suport financiar.</w:t>
      </w:r>
    </w:p>
    <w:p w14:paraId="572FAF0F" w14:textId="77777777" w:rsidR="0068527F" w:rsidRPr="00312485" w:rsidRDefault="0068527F" w:rsidP="006362A0">
      <w:pPr>
        <w:ind w:firstLine="720"/>
        <w:rPr>
          <w:sz w:val="24"/>
          <w:szCs w:val="24"/>
          <w:lang w:val="ro-MD"/>
        </w:rPr>
      </w:pPr>
      <w:r w:rsidRPr="00312485">
        <w:rPr>
          <w:sz w:val="24"/>
          <w:szCs w:val="24"/>
          <w:lang w:val="ro-MD"/>
        </w:rPr>
        <w:t>În perioada 2026–2028, vor fi promovate politici axate pe extinderea accesului la servicii sociale de calitate, dezvoltarea serviciilor în special pentru copii, persoane cu dizabilități și victime ale violenței, precum și pe întărirea capacității instituționale și profesionale a sistemului. Se vor întreprinde acțiuni de modernizare digitală și interoperabilitate a sistemelor informaționale, pentru a îmbunătăți capacitatea de răspuns și monitorizare.</w:t>
      </w:r>
    </w:p>
    <w:p w14:paraId="18B0E50F" w14:textId="77777777" w:rsidR="0068527F" w:rsidRPr="00312485" w:rsidRDefault="0068527F" w:rsidP="006362A0">
      <w:pPr>
        <w:pStyle w:val="CharChar"/>
        <w:spacing w:after="0" w:line="240" w:lineRule="auto"/>
        <w:ind w:firstLine="720"/>
        <w:jc w:val="both"/>
        <w:rPr>
          <w:rFonts w:ascii="Times New Roman" w:eastAsia="Calibri" w:hAnsi="Times New Roman" w:cs="Times New Roman"/>
          <w:sz w:val="24"/>
          <w:szCs w:val="24"/>
          <w:lang w:val="ro-MD"/>
        </w:rPr>
      </w:pPr>
      <w:r w:rsidRPr="00312485">
        <w:rPr>
          <w:rFonts w:ascii="Times New Roman" w:eastAsia="Calibri" w:hAnsi="Times New Roman" w:cs="Times New Roman"/>
          <w:i/>
          <w:sz w:val="24"/>
          <w:szCs w:val="24"/>
          <w:lang w:val="ro-MD"/>
        </w:rPr>
        <w:t>Principalele măsuri și acțiuni planificate în perioada anilor 2026-2028</w:t>
      </w:r>
      <w:r w:rsidRPr="00312485">
        <w:rPr>
          <w:rFonts w:ascii="Times New Roman" w:eastAsia="Calibri" w:hAnsi="Times New Roman" w:cs="Times New Roman"/>
          <w:sz w:val="24"/>
          <w:szCs w:val="24"/>
          <w:lang w:val="ro-MD"/>
        </w:rPr>
        <w:t>:</w:t>
      </w:r>
    </w:p>
    <w:p w14:paraId="5550287F" w14:textId="77777777" w:rsidR="0068527F" w:rsidRPr="00312485" w:rsidRDefault="0068527F" w:rsidP="00E70CE8">
      <w:pPr>
        <w:pStyle w:val="Listparagraf"/>
        <w:widowControl w:val="0"/>
        <w:numPr>
          <w:ilvl w:val="0"/>
          <w:numId w:val="42"/>
        </w:numPr>
        <w:tabs>
          <w:tab w:val="left" w:pos="567"/>
          <w:tab w:val="left" w:pos="709"/>
        </w:tabs>
        <w:ind w:left="0" w:firstLine="567"/>
        <w:rPr>
          <w:rFonts w:eastAsia="Calibri"/>
          <w:sz w:val="24"/>
          <w:szCs w:val="24"/>
          <w:lang w:val="ro-MD"/>
        </w:rPr>
      </w:pPr>
      <w:r w:rsidRPr="00312485">
        <w:rPr>
          <w:sz w:val="24"/>
          <w:szCs w:val="24"/>
          <w:lang w:val="ro-MD"/>
        </w:rPr>
        <w:t>actualizarea legislației pentru a crea un sistem solid de asigurare a calității în prestarea serviciilor sociale;</w:t>
      </w:r>
    </w:p>
    <w:p w14:paraId="7F2E64E1" w14:textId="77777777" w:rsidR="0068527F" w:rsidRPr="00312485" w:rsidRDefault="0068527F" w:rsidP="00E70CE8">
      <w:pPr>
        <w:pStyle w:val="Listparagraf"/>
        <w:widowControl w:val="0"/>
        <w:numPr>
          <w:ilvl w:val="0"/>
          <w:numId w:val="42"/>
        </w:numPr>
        <w:tabs>
          <w:tab w:val="left" w:pos="567"/>
          <w:tab w:val="left" w:pos="709"/>
        </w:tabs>
        <w:ind w:left="0" w:firstLine="567"/>
        <w:rPr>
          <w:rFonts w:eastAsia="Calibri"/>
          <w:sz w:val="24"/>
          <w:szCs w:val="24"/>
          <w:lang w:val="ro-MD"/>
        </w:rPr>
      </w:pPr>
      <w:r w:rsidRPr="00312485">
        <w:rPr>
          <w:rFonts w:eastAsia="Calibri"/>
          <w:sz w:val="24"/>
          <w:szCs w:val="24"/>
          <w:lang w:val="ro-MD"/>
        </w:rPr>
        <w:t xml:space="preserve">consolidarea sistemului de protecție a copilului prin creșterea </w:t>
      </w:r>
      <w:r w:rsidRPr="00312485">
        <w:rPr>
          <w:sz w:val="24"/>
          <w:szCs w:val="24"/>
          <w:lang w:val="ro-MD"/>
        </w:rPr>
        <w:t>numărului de specialiști calificați;</w:t>
      </w:r>
    </w:p>
    <w:p w14:paraId="31E0F64A" w14:textId="77777777" w:rsidR="0068527F" w:rsidRPr="00312485" w:rsidRDefault="0068527F" w:rsidP="0087423B">
      <w:pPr>
        <w:pStyle w:val="Listparagraf"/>
        <w:widowControl w:val="0"/>
        <w:numPr>
          <w:ilvl w:val="0"/>
          <w:numId w:val="42"/>
        </w:numPr>
        <w:tabs>
          <w:tab w:val="left" w:pos="567"/>
          <w:tab w:val="left" w:pos="851"/>
        </w:tabs>
        <w:ind w:left="0" w:firstLine="567"/>
        <w:rPr>
          <w:rFonts w:eastAsia="Calibri"/>
          <w:sz w:val="24"/>
          <w:szCs w:val="24"/>
          <w:lang w:val="ro-MD"/>
        </w:rPr>
      </w:pPr>
      <w:r w:rsidRPr="00312485">
        <w:rPr>
          <w:rFonts w:eastAsia="Calibri"/>
          <w:sz w:val="24"/>
          <w:szCs w:val="24"/>
          <w:lang w:val="ro-MD"/>
        </w:rPr>
        <w:t xml:space="preserve">modernizarea și digitalizarea sistemului de protecție socială prin </w:t>
      </w:r>
      <w:r w:rsidRPr="00312485">
        <w:rPr>
          <w:sz w:val="24"/>
          <w:szCs w:val="24"/>
          <w:lang w:val="ro-MD"/>
        </w:rPr>
        <w:t>dezvoltarea infrastructurii digitale integrate;</w:t>
      </w:r>
    </w:p>
    <w:p w14:paraId="1E5533C0" w14:textId="77777777" w:rsidR="0068527F" w:rsidRPr="00312485" w:rsidRDefault="0068527F" w:rsidP="003D76ED">
      <w:pPr>
        <w:numPr>
          <w:ilvl w:val="0"/>
          <w:numId w:val="42"/>
        </w:numPr>
        <w:tabs>
          <w:tab w:val="left" w:pos="284"/>
        </w:tabs>
        <w:spacing w:beforeAutospacing="1" w:afterAutospacing="1"/>
        <w:ind w:left="0" w:firstLine="567"/>
        <w:rPr>
          <w:sz w:val="24"/>
          <w:szCs w:val="24"/>
          <w:lang w:val="ro-MD"/>
        </w:rPr>
      </w:pPr>
      <w:r w:rsidRPr="00312485">
        <w:rPr>
          <w:sz w:val="24"/>
          <w:szCs w:val="24"/>
          <w:lang w:val="ro-MD"/>
        </w:rPr>
        <w:t>dezvoltarea și extinderea serviciilor sociale specializate pentru victimele violenței în familie, violenței împotriva femeilor și traficului de ființe umane;</w:t>
      </w:r>
    </w:p>
    <w:p w14:paraId="45AF0F70" w14:textId="77777777" w:rsidR="0068527F" w:rsidRPr="00312485" w:rsidRDefault="0068527F" w:rsidP="00E70CE8">
      <w:pPr>
        <w:pStyle w:val="Listparagraf"/>
        <w:widowControl w:val="0"/>
        <w:numPr>
          <w:ilvl w:val="0"/>
          <w:numId w:val="42"/>
        </w:numPr>
        <w:tabs>
          <w:tab w:val="left" w:pos="567"/>
          <w:tab w:val="left" w:pos="709"/>
        </w:tabs>
        <w:ind w:left="0" w:firstLine="567"/>
        <w:rPr>
          <w:rFonts w:eastAsia="Calibri"/>
          <w:sz w:val="24"/>
          <w:szCs w:val="24"/>
          <w:lang w:val="ro-MD"/>
        </w:rPr>
      </w:pPr>
      <w:r w:rsidRPr="00312485">
        <w:rPr>
          <w:rFonts w:eastAsia="Calibri"/>
          <w:sz w:val="24"/>
          <w:szCs w:val="24"/>
          <w:lang w:val="ro-MD"/>
        </w:rPr>
        <w:t xml:space="preserve">implementarea măsurilor active de sprijin </w:t>
      </w:r>
      <w:r w:rsidRPr="00312485">
        <w:rPr>
          <w:sz w:val="24"/>
          <w:szCs w:val="24"/>
          <w:lang w:val="ro-MD"/>
        </w:rPr>
        <w:t>pentru incluziunea persoanelor cu dizabilități (adaptare infrastructură, acces la educație și muncă);</w:t>
      </w:r>
    </w:p>
    <w:p w14:paraId="67F0087D" w14:textId="77777777" w:rsidR="0068527F" w:rsidRPr="00312485" w:rsidRDefault="0068527F" w:rsidP="00E70CE8">
      <w:pPr>
        <w:pStyle w:val="Listparagraf"/>
        <w:widowControl w:val="0"/>
        <w:numPr>
          <w:ilvl w:val="0"/>
          <w:numId w:val="42"/>
        </w:numPr>
        <w:tabs>
          <w:tab w:val="left" w:pos="567"/>
          <w:tab w:val="left" w:pos="709"/>
        </w:tabs>
        <w:ind w:left="0" w:firstLine="567"/>
        <w:rPr>
          <w:rFonts w:eastAsia="Calibri"/>
          <w:sz w:val="24"/>
          <w:szCs w:val="24"/>
          <w:lang w:val="ro-MD"/>
        </w:rPr>
      </w:pPr>
      <w:r w:rsidRPr="00312485">
        <w:rPr>
          <w:rFonts w:eastAsia="Calibri"/>
          <w:sz w:val="24"/>
          <w:szCs w:val="24"/>
          <w:lang w:val="ro-MD"/>
        </w:rPr>
        <w:t>oferirea suportului pentru familiile tinere prin extinderea serviciilor publice de creșă;</w:t>
      </w:r>
    </w:p>
    <w:p w14:paraId="7E828437" w14:textId="77777777" w:rsidR="0068527F" w:rsidRPr="00312485" w:rsidRDefault="0068527F" w:rsidP="00C8712C">
      <w:pPr>
        <w:pStyle w:val="Listparagraf"/>
        <w:widowControl w:val="0"/>
        <w:numPr>
          <w:ilvl w:val="0"/>
          <w:numId w:val="42"/>
        </w:numPr>
        <w:tabs>
          <w:tab w:val="left" w:pos="567"/>
          <w:tab w:val="left" w:pos="709"/>
        </w:tabs>
        <w:ind w:left="0" w:firstLine="567"/>
        <w:rPr>
          <w:rFonts w:eastAsia="Calibri"/>
          <w:sz w:val="24"/>
          <w:szCs w:val="24"/>
          <w:lang w:val="ro-MD"/>
        </w:rPr>
      </w:pPr>
      <w:r w:rsidRPr="00312485">
        <w:rPr>
          <w:rFonts w:eastAsia="Calibri"/>
          <w:sz w:val="24"/>
          <w:szCs w:val="24"/>
          <w:lang w:val="ro-MD"/>
        </w:rPr>
        <w:t>consolidarea aplicării legislației muncii, prin reducerea cazurilor de muncă nedeclarată.</w:t>
      </w:r>
    </w:p>
    <w:p w14:paraId="701725E4" w14:textId="77777777" w:rsidR="0068527F" w:rsidRPr="00312485" w:rsidRDefault="0068527F" w:rsidP="0068527F">
      <w:pPr>
        <w:tabs>
          <w:tab w:val="left" w:pos="270"/>
          <w:tab w:val="left" w:pos="360"/>
          <w:tab w:val="left" w:pos="900"/>
          <w:tab w:val="left" w:pos="1080"/>
        </w:tabs>
        <w:spacing w:line="276" w:lineRule="auto"/>
        <w:ind w:left="720"/>
        <w:rPr>
          <w:bCs/>
          <w:sz w:val="24"/>
          <w:szCs w:val="24"/>
          <w:lang w:val="ro-MD"/>
        </w:rPr>
      </w:pPr>
    </w:p>
    <w:p w14:paraId="335B5848" w14:textId="77777777" w:rsidR="00266FF7" w:rsidRPr="00312485" w:rsidRDefault="00266FF7" w:rsidP="00266FF7">
      <w:pPr>
        <w:rPr>
          <w:rFonts w:eastAsiaTheme="minorHAnsi"/>
          <w:b/>
          <w:i/>
          <w:sz w:val="24"/>
          <w:szCs w:val="24"/>
          <w:lang w:val="ro-MD"/>
        </w:rPr>
      </w:pPr>
      <w:r w:rsidRPr="00312485">
        <w:rPr>
          <w:rFonts w:eastAsiaTheme="minorHAnsi"/>
          <w:b/>
          <w:i/>
          <w:sz w:val="24"/>
          <w:szCs w:val="24"/>
          <w:lang w:val="ro-MD"/>
        </w:rPr>
        <w:t>Știință și inovare (23)</w:t>
      </w:r>
    </w:p>
    <w:p w14:paraId="52569853" w14:textId="77777777" w:rsidR="00266FF7" w:rsidRPr="00312485" w:rsidRDefault="00266FF7" w:rsidP="00266FF7">
      <w:pPr>
        <w:rPr>
          <w:rFonts w:eastAsiaTheme="minorHAnsi"/>
          <w:color w:val="000000" w:themeColor="text1"/>
          <w:sz w:val="24"/>
          <w:szCs w:val="24"/>
          <w:shd w:val="clear" w:color="auto" w:fill="FFFFFF"/>
          <w:lang w:val="ro-MD"/>
        </w:rPr>
      </w:pPr>
      <w:r w:rsidRPr="00312485">
        <w:rPr>
          <w:rFonts w:eastAsiaTheme="minorHAnsi"/>
          <w:color w:val="000000" w:themeColor="text1"/>
          <w:sz w:val="24"/>
          <w:szCs w:val="24"/>
          <w:shd w:val="clear" w:color="auto" w:fill="FFFFFF"/>
          <w:lang w:val="ro-MD"/>
        </w:rPr>
        <w:t>Cercetarea și inovarea sunt forțele motrice ale creșterii economice și sursele esențiale de soluții pentru provocările societății. Dezvoltarea acestui sector reprezintă o prioritate pentru Guvern, fiind aliniată cu obiectivele de dezvoltare durabilă, ceea ce subliniază necesitatea consolidării științei, cercetării și inovării pentru a spori eficiența sistemului național de cercetare și inovare.</w:t>
      </w:r>
    </w:p>
    <w:p w14:paraId="5F1E7DA5" w14:textId="77777777" w:rsidR="00266FF7" w:rsidRPr="00312485" w:rsidRDefault="00266FF7" w:rsidP="00266FF7">
      <w:pPr>
        <w:rPr>
          <w:rFonts w:eastAsiaTheme="minorHAnsi"/>
          <w:i/>
          <w:color w:val="000000" w:themeColor="text1"/>
          <w:sz w:val="24"/>
          <w:szCs w:val="24"/>
          <w:shd w:val="clear" w:color="auto" w:fill="FFFFFF"/>
          <w:lang w:val="ro-MD"/>
        </w:rPr>
      </w:pPr>
      <w:r w:rsidRPr="00312485">
        <w:rPr>
          <w:rFonts w:eastAsiaTheme="minorHAnsi"/>
          <w:i/>
          <w:color w:val="000000" w:themeColor="text1"/>
          <w:sz w:val="24"/>
          <w:szCs w:val="24"/>
          <w:shd w:val="clear" w:color="auto" w:fill="FFFFFF"/>
          <w:lang w:val="ro-MD"/>
        </w:rPr>
        <w:t xml:space="preserve">Principalele măsuri și acțiuni planificate în perioada 2026-2028: </w:t>
      </w:r>
    </w:p>
    <w:p w14:paraId="2FC70673" w14:textId="77777777" w:rsidR="00266FF7" w:rsidRPr="00312485" w:rsidRDefault="00266FF7" w:rsidP="00CC6394">
      <w:pPr>
        <w:pStyle w:val="Listparagraf"/>
        <w:numPr>
          <w:ilvl w:val="0"/>
          <w:numId w:val="1"/>
        </w:numPr>
        <w:ind w:left="0" w:right="95" w:firstLine="567"/>
        <w:rPr>
          <w:sz w:val="24"/>
          <w:szCs w:val="24"/>
          <w:lang w:val="ro-MD"/>
        </w:rPr>
      </w:pPr>
      <w:r w:rsidRPr="00312485">
        <w:rPr>
          <w:sz w:val="24"/>
          <w:szCs w:val="24"/>
          <w:lang w:val="ro-MD"/>
        </w:rPr>
        <w:t>consolidarea transferului tehnologic și îmbunătățirea capacităților de cercetare și inovare;</w:t>
      </w:r>
    </w:p>
    <w:p w14:paraId="014F25A6" w14:textId="77777777" w:rsidR="00266FF7" w:rsidRPr="00312485" w:rsidRDefault="00266FF7" w:rsidP="00CC6394">
      <w:pPr>
        <w:pStyle w:val="Listparagraf"/>
        <w:numPr>
          <w:ilvl w:val="0"/>
          <w:numId w:val="1"/>
        </w:numPr>
        <w:ind w:left="0" w:right="95" w:firstLine="567"/>
        <w:rPr>
          <w:sz w:val="24"/>
          <w:szCs w:val="24"/>
          <w:lang w:val="ro-MD"/>
        </w:rPr>
      </w:pPr>
      <w:r w:rsidRPr="00312485">
        <w:rPr>
          <w:sz w:val="24"/>
          <w:szCs w:val="24"/>
          <w:lang w:val="ro-MD"/>
        </w:rPr>
        <w:t>majorarea finanțării și stimularea activităților de cercetare și inovare pe baza performanței și a competiției;</w:t>
      </w:r>
    </w:p>
    <w:p w14:paraId="546409CD" w14:textId="77777777" w:rsidR="00266FF7" w:rsidRPr="00312485" w:rsidRDefault="00266FF7" w:rsidP="00CC6394">
      <w:pPr>
        <w:pStyle w:val="Listparagraf"/>
        <w:numPr>
          <w:ilvl w:val="0"/>
          <w:numId w:val="1"/>
        </w:numPr>
        <w:ind w:left="0" w:right="95" w:firstLine="567"/>
        <w:rPr>
          <w:sz w:val="24"/>
          <w:szCs w:val="24"/>
          <w:lang w:val="ro-MD"/>
        </w:rPr>
      </w:pPr>
      <w:r w:rsidRPr="00312485">
        <w:rPr>
          <w:sz w:val="24"/>
          <w:szCs w:val="24"/>
          <w:lang w:val="ro-MD"/>
        </w:rPr>
        <w:t>dezvoltarea și modernizarea sistemelor informatice, integrarea științei și a tehnologiilor.</w:t>
      </w:r>
    </w:p>
    <w:p w14:paraId="42B5D8EA" w14:textId="2B93C29A" w:rsidR="00C05D1A" w:rsidRPr="00312485" w:rsidRDefault="00C05D1A" w:rsidP="00266FF7">
      <w:pPr>
        <w:autoSpaceDE w:val="0"/>
        <w:autoSpaceDN w:val="0"/>
        <w:adjustRightInd w:val="0"/>
        <w:ind w:firstLine="0"/>
        <w:rPr>
          <w:sz w:val="24"/>
          <w:szCs w:val="24"/>
          <w:lang w:val="ro-MD" w:eastAsia="ru-RU"/>
        </w:rPr>
      </w:pPr>
    </w:p>
    <w:p w14:paraId="7B1A726F" w14:textId="23191E63" w:rsidR="00D16C75" w:rsidRPr="00312485" w:rsidRDefault="00D16C75" w:rsidP="00AF011A">
      <w:pPr>
        <w:ind w:firstLine="567"/>
        <w:jc w:val="left"/>
        <w:rPr>
          <w:b/>
          <w:sz w:val="24"/>
          <w:szCs w:val="24"/>
          <w:lang w:val="ro-MD"/>
        </w:rPr>
      </w:pPr>
      <w:r w:rsidRPr="00312485">
        <w:rPr>
          <w:b/>
          <w:sz w:val="24"/>
          <w:szCs w:val="24"/>
          <w:lang w:val="ro-MD"/>
        </w:rPr>
        <w:lastRenderedPageBreak/>
        <w:t xml:space="preserve">D. Finanțarea și datoria de stat  </w:t>
      </w:r>
    </w:p>
    <w:p w14:paraId="0E57079A" w14:textId="77777777" w:rsidR="00916856" w:rsidRPr="00312485" w:rsidRDefault="00916856" w:rsidP="00916856">
      <w:pPr>
        <w:rPr>
          <w:sz w:val="24"/>
          <w:szCs w:val="24"/>
          <w:lang w:val="ro-MD"/>
        </w:rPr>
      </w:pPr>
    </w:p>
    <w:p w14:paraId="3BCB4F0D" w14:textId="77777777" w:rsidR="00916856" w:rsidRPr="00312485" w:rsidRDefault="00916856" w:rsidP="00AF011A">
      <w:pPr>
        <w:pStyle w:val="Title2"/>
        <w:spacing w:before="0" w:after="0" w:line="240" w:lineRule="auto"/>
        <w:ind w:left="0" w:firstLine="567"/>
        <w:rPr>
          <w:rFonts w:ascii="Times New Roman" w:hAnsi="Times New Roman"/>
          <w:color w:val="auto"/>
          <w:sz w:val="24"/>
          <w:szCs w:val="24"/>
          <w:lang w:val="ro-MD"/>
        </w:rPr>
      </w:pPr>
      <w:r w:rsidRPr="00312485">
        <w:rPr>
          <w:rFonts w:ascii="Times New Roman" w:hAnsi="Times New Roman"/>
          <w:color w:val="auto"/>
          <w:sz w:val="24"/>
          <w:szCs w:val="24"/>
          <w:lang w:val="ro-MD"/>
        </w:rPr>
        <w:t>Obiectivele de gestionare a datoriei de stat</w:t>
      </w:r>
    </w:p>
    <w:p w14:paraId="01A470BB" w14:textId="77777777" w:rsidR="00916856" w:rsidRPr="00312485" w:rsidRDefault="00916856" w:rsidP="00AF011A">
      <w:pPr>
        <w:pStyle w:val="Title1"/>
        <w:spacing w:before="0" w:after="0" w:line="240" w:lineRule="auto"/>
        <w:ind w:firstLine="567"/>
        <w:rPr>
          <w:rFonts w:ascii="Times New Roman" w:hAnsi="Times New Roman"/>
          <w:b w:val="0"/>
          <w:color w:val="auto"/>
          <w:sz w:val="24"/>
          <w:szCs w:val="24"/>
          <w:lang w:val="ro-MD"/>
        </w:rPr>
      </w:pPr>
      <w:r w:rsidRPr="00312485">
        <w:rPr>
          <w:rFonts w:ascii="Times New Roman" w:hAnsi="Times New Roman"/>
          <w:b w:val="0"/>
          <w:color w:val="auto"/>
          <w:sz w:val="24"/>
          <w:szCs w:val="24"/>
          <w:lang w:val="ro-MD"/>
        </w:rPr>
        <w:t>Obiectivul principal al managementului datoriei de stat este de a asigura necesitățile de finanțare ale soldului (deficitului) bugetului de stat la nivel acceptabil de cheltuieli pe termen mediu și lung, în condițiile limitării riscurilor implicate. În concordanță cu acest obiectiv de politică, acțiunile în perioada 2026-2028 se vor concentra pe:</w:t>
      </w:r>
    </w:p>
    <w:p w14:paraId="1C856298" w14:textId="77777777" w:rsidR="00916856" w:rsidRPr="00312485" w:rsidRDefault="00916856" w:rsidP="00916856">
      <w:pPr>
        <w:rPr>
          <w:sz w:val="24"/>
          <w:szCs w:val="24"/>
          <w:lang w:val="ro-MD"/>
        </w:rPr>
      </w:pPr>
      <w:r w:rsidRPr="00312485">
        <w:rPr>
          <w:sz w:val="24"/>
          <w:szCs w:val="24"/>
          <w:lang w:val="ro-MD"/>
        </w:rPr>
        <w:t xml:space="preserve">1) menținerea și </w:t>
      </w:r>
      <w:r w:rsidRPr="00312485">
        <w:rPr>
          <w:bCs/>
          <w:sz w:val="24"/>
          <w:szCs w:val="24"/>
          <w:lang w:val="ro-MD"/>
        </w:rPr>
        <w:t>dezvoltarea pieței interne a VMS</w:t>
      </w:r>
      <w:r w:rsidRPr="00312485">
        <w:rPr>
          <w:sz w:val="24"/>
          <w:szCs w:val="24"/>
          <w:lang w:val="ro-MD"/>
        </w:rPr>
        <w:t>;</w:t>
      </w:r>
    </w:p>
    <w:p w14:paraId="44241E96" w14:textId="77777777" w:rsidR="00916856" w:rsidRPr="00312485" w:rsidRDefault="00916856" w:rsidP="00916856">
      <w:pPr>
        <w:rPr>
          <w:sz w:val="24"/>
          <w:szCs w:val="24"/>
          <w:lang w:val="ro-MD"/>
        </w:rPr>
      </w:pPr>
      <w:r w:rsidRPr="00312485">
        <w:rPr>
          <w:sz w:val="24"/>
          <w:szCs w:val="24"/>
          <w:lang w:val="ro-MD"/>
        </w:rPr>
        <w:t>2) contractarea împrumuturilor de stat externe, ținând cont de raportul cost–risc;</w:t>
      </w:r>
    </w:p>
    <w:p w14:paraId="38B63CC4" w14:textId="77777777" w:rsidR="00916856" w:rsidRPr="00312485" w:rsidRDefault="00916856" w:rsidP="00916856">
      <w:pPr>
        <w:rPr>
          <w:sz w:val="24"/>
          <w:szCs w:val="24"/>
          <w:lang w:val="ro-MD"/>
        </w:rPr>
      </w:pPr>
      <w:r w:rsidRPr="00312485">
        <w:rPr>
          <w:sz w:val="24"/>
          <w:szCs w:val="24"/>
          <w:lang w:val="ro-MD"/>
        </w:rPr>
        <w:t>3) gestionarea riscurilor asociate datoriei de stat.</w:t>
      </w:r>
    </w:p>
    <w:p w14:paraId="42460C4F" w14:textId="77777777" w:rsidR="00916856" w:rsidRPr="00312485" w:rsidRDefault="00916856" w:rsidP="00916856">
      <w:pPr>
        <w:spacing w:line="120" w:lineRule="auto"/>
        <w:ind w:firstLine="0"/>
        <w:rPr>
          <w:sz w:val="28"/>
          <w:szCs w:val="28"/>
          <w:lang w:val="ro-MD"/>
        </w:rPr>
      </w:pPr>
    </w:p>
    <w:p w14:paraId="393373FA" w14:textId="77777777" w:rsidR="00916856" w:rsidRPr="00312485" w:rsidRDefault="00916856" w:rsidP="00AF011A">
      <w:pPr>
        <w:pStyle w:val="Title2"/>
        <w:spacing w:before="0" w:after="0" w:line="240" w:lineRule="auto"/>
        <w:ind w:left="0" w:firstLine="567"/>
        <w:rPr>
          <w:rFonts w:ascii="Times New Roman" w:hAnsi="Times New Roman"/>
          <w:color w:val="auto"/>
          <w:sz w:val="24"/>
          <w:szCs w:val="24"/>
          <w:lang w:val="ro-MD"/>
        </w:rPr>
      </w:pPr>
      <w:r w:rsidRPr="00312485">
        <w:rPr>
          <w:rFonts w:ascii="Times New Roman" w:hAnsi="Times New Roman"/>
          <w:color w:val="auto"/>
          <w:sz w:val="24"/>
          <w:szCs w:val="24"/>
          <w:lang w:val="ro-MD"/>
        </w:rPr>
        <w:t>Finanțarea externă</w:t>
      </w:r>
    </w:p>
    <w:p w14:paraId="7EBCAE31" w14:textId="06CD5512" w:rsidR="00B70B40" w:rsidRPr="00312485" w:rsidRDefault="00B70B40" w:rsidP="00AF011A">
      <w:pPr>
        <w:pStyle w:val="Numberedtex"/>
        <w:numPr>
          <w:ilvl w:val="0"/>
          <w:numId w:val="0"/>
        </w:numPr>
        <w:spacing w:before="0" w:after="0" w:line="240" w:lineRule="auto"/>
        <w:ind w:firstLine="567"/>
        <w:rPr>
          <w:rFonts w:ascii="Times New Roman" w:hAnsi="Times New Roman"/>
          <w:sz w:val="24"/>
          <w:szCs w:val="28"/>
          <w:lang w:val="ro-MD"/>
        </w:rPr>
      </w:pPr>
      <w:r w:rsidRPr="00312485">
        <w:rPr>
          <w:rFonts w:ascii="Times New Roman" w:hAnsi="Times New Roman"/>
          <w:sz w:val="24"/>
          <w:szCs w:val="28"/>
          <w:lang w:val="ro-MD"/>
        </w:rPr>
        <w:t>Conform prognozelor pe termen mediu, în raport cu anul 2025, finanțarea externă destinată atât susținerii bugetului de stat</w:t>
      </w:r>
      <w:r w:rsidR="000A7E8D" w:rsidRPr="00312485">
        <w:rPr>
          <w:rFonts w:ascii="Times New Roman" w:hAnsi="Times New Roman"/>
          <w:sz w:val="24"/>
          <w:szCs w:val="28"/>
          <w:lang w:val="ro-MD"/>
        </w:rPr>
        <w:t>,</w:t>
      </w:r>
      <w:r w:rsidRPr="00312485">
        <w:rPr>
          <w:rFonts w:ascii="Times New Roman" w:hAnsi="Times New Roman"/>
          <w:sz w:val="24"/>
          <w:szCs w:val="28"/>
          <w:lang w:val="ro-MD"/>
        </w:rPr>
        <w:t xml:space="preserve"> cât și finanțării proiectelor investiționale din surse externe va înregistra o majorare, ajungând în anul 2028 cumulativ la 15 854,2 mil. lei (echivalentul a 794,7 mil. dolari SUA). </w:t>
      </w:r>
    </w:p>
    <w:p w14:paraId="2741BF78" w14:textId="6644E0A8" w:rsidR="00916856" w:rsidRPr="00312485" w:rsidRDefault="00916856" w:rsidP="00AF011A">
      <w:pPr>
        <w:pStyle w:val="Numberedtex"/>
        <w:numPr>
          <w:ilvl w:val="0"/>
          <w:numId w:val="0"/>
        </w:numPr>
        <w:spacing w:before="0" w:after="0" w:line="240" w:lineRule="auto"/>
        <w:ind w:firstLine="567"/>
        <w:rPr>
          <w:rFonts w:ascii="Times New Roman" w:hAnsi="Times New Roman"/>
          <w:sz w:val="24"/>
          <w:szCs w:val="24"/>
          <w:lang w:val="ro-MD"/>
        </w:rPr>
      </w:pPr>
      <w:r w:rsidRPr="00312485">
        <w:rPr>
          <w:rFonts w:ascii="Times New Roman" w:hAnsi="Times New Roman"/>
          <w:sz w:val="24"/>
          <w:szCs w:val="24"/>
          <w:lang w:val="ro-MD"/>
        </w:rPr>
        <w:t xml:space="preserve"> Ca pondere în PIB, finanțarea proiectelor investiționale va înregistra o creștere de 0,3 p</w:t>
      </w:r>
      <w:r w:rsidR="000A7E8D" w:rsidRPr="00312485">
        <w:rPr>
          <w:rFonts w:ascii="Times New Roman" w:hAnsi="Times New Roman"/>
          <w:sz w:val="24"/>
          <w:szCs w:val="24"/>
          <w:lang w:val="ro-MD"/>
        </w:rPr>
        <w:t>uncte</w:t>
      </w:r>
      <w:r w:rsidRPr="00312485">
        <w:rPr>
          <w:rFonts w:ascii="Times New Roman" w:hAnsi="Times New Roman"/>
          <w:sz w:val="24"/>
          <w:szCs w:val="24"/>
          <w:lang w:val="ro-MD"/>
        </w:rPr>
        <w:t xml:space="preserve"> p</w:t>
      </w:r>
      <w:r w:rsidR="000A7E8D" w:rsidRPr="00312485">
        <w:rPr>
          <w:rFonts w:ascii="Times New Roman" w:hAnsi="Times New Roman"/>
          <w:sz w:val="24"/>
          <w:szCs w:val="24"/>
          <w:lang w:val="ro-MD"/>
        </w:rPr>
        <w:t>rocentuale</w:t>
      </w:r>
      <w:r w:rsidRPr="00312485">
        <w:rPr>
          <w:rFonts w:ascii="Times New Roman" w:hAnsi="Times New Roman"/>
          <w:sz w:val="24"/>
          <w:szCs w:val="24"/>
          <w:lang w:val="ro-MD"/>
        </w:rPr>
        <w:t xml:space="preserve"> față de anul 2025, a</w:t>
      </w:r>
      <w:r w:rsidR="000A7E8D" w:rsidRPr="00312485">
        <w:rPr>
          <w:rFonts w:ascii="Times New Roman" w:hAnsi="Times New Roman"/>
          <w:sz w:val="24"/>
          <w:szCs w:val="24"/>
          <w:lang w:val="ro-MD"/>
        </w:rPr>
        <w:t>ting</w:t>
      </w:r>
      <w:r w:rsidRPr="00312485">
        <w:rPr>
          <w:rFonts w:ascii="Times New Roman" w:hAnsi="Times New Roman"/>
          <w:sz w:val="24"/>
          <w:szCs w:val="24"/>
          <w:lang w:val="ro-MD"/>
        </w:rPr>
        <w:t xml:space="preserve">ând 1,7% din PIB în anul 2028, iar cele destinate susținerii bugetului de stat vor </w:t>
      </w:r>
      <w:r w:rsidR="00DB29BF" w:rsidRPr="00312485">
        <w:rPr>
          <w:rFonts w:ascii="Times New Roman" w:hAnsi="Times New Roman"/>
          <w:sz w:val="24"/>
          <w:szCs w:val="24"/>
          <w:lang w:val="ro-MD"/>
        </w:rPr>
        <w:t>crește</w:t>
      </w:r>
      <w:r w:rsidRPr="00312485">
        <w:rPr>
          <w:rFonts w:ascii="Times New Roman" w:hAnsi="Times New Roman"/>
          <w:sz w:val="24"/>
          <w:szCs w:val="24"/>
          <w:lang w:val="ro-MD"/>
        </w:rPr>
        <w:t xml:space="preserve"> cu </w:t>
      </w:r>
      <w:r w:rsidR="00DB29BF" w:rsidRPr="00312485">
        <w:rPr>
          <w:rFonts w:ascii="Times New Roman" w:hAnsi="Times New Roman"/>
          <w:sz w:val="24"/>
          <w:szCs w:val="24"/>
          <w:lang w:val="ro-MD"/>
        </w:rPr>
        <w:t>0,3</w:t>
      </w:r>
      <w:r w:rsidRPr="00312485">
        <w:rPr>
          <w:rFonts w:ascii="Times New Roman" w:hAnsi="Times New Roman"/>
          <w:sz w:val="24"/>
          <w:szCs w:val="24"/>
          <w:lang w:val="ro-MD"/>
        </w:rPr>
        <w:t xml:space="preserve"> </w:t>
      </w:r>
      <w:r w:rsidR="000A7E8D" w:rsidRPr="00312485">
        <w:rPr>
          <w:rFonts w:ascii="Times New Roman" w:hAnsi="Times New Roman"/>
          <w:sz w:val="24"/>
          <w:szCs w:val="24"/>
          <w:lang w:val="ro-MD"/>
        </w:rPr>
        <w:t xml:space="preserve">puncte procentuale, </w:t>
      </w:r>
      <w:r w:rsidRPr="00312485">
        <w:rPr>
          <w:rFonts w:ascii="Times New Roman" w:hAnsi="Times New Roman"/>
          <w:sz w:val="24"/>
          <w:szCs w:val="24"/>
          <w:lang w:val="ro-MD"/>
        </w:rPr>
        <w:t xml:space="preserve">ajungând la 1,9%. Principalii finanțatori externi rămân </w:t>
      </w:r>
      <w:r w:rsidR="000D6EFE" w:rsidRPr="00312485">
        <w:rPr>
          <w:rFonts w:ascii="Times New Roman" w:hAnsi="Times New Roman"/>
          <w:sz w:val="24"/>
          <w:szCs w:val="24"/>
          <w:lang w:val="ro-MD"/>
        </w:rPr>
        <w:t xml:space="preserve">a fi </w:t>
      </w:r>
      <w:r w:rsidRPr="00312485">
        <w:rPr>
          <w:rFonts w:ascii="Times New Roman" w:hAnsi="Times New Roman"/>
          <w:sz w:val="24"/>
          <w:szCs w:val="24"/>
          <w:lang w:val="ro-MD"/>
        </w:rPr>
        <w:t>Comisia Europeană, Banca Mondială, Banca Europeană de Investiții și Banca Europeană pentru Reconstrucție și Dezvoltare.</w:t>
      </w:r>
    </w:p>
    <w:p w14:paraId="205B2088" w14:textId="564F7AEF" w:rsidR="00916856" w:rsidRPr="00312485" w:rsidRDefault="00916856" w:rsidP="00916856">
      <w:pPr>
        <w:pStyle w:val="Title2"/>
        <w:spacing w:before="0" w:after="0" w:line="240" w:lineRule="auto"/>
        <w:ind w:left="0" w:firstLine="720"/>
        <w:rPr>
          <w:rFonts w:ascii="Times New Roman" w:hAnsi="Times New Roman"/>
          <w:sz w:val="24"/>
          <w:szCs w:val="24"/>
          <w:lang w:val="ro-MD"/>
        </w:rPr>
      </w:pPr>
    </w:p>
    <w:p w14:paraId="62FBD540" w14:textId="77777777" w:rsidR="00916856" w:rsidRPr="00312485" w:rsidRDefault="00916856" w:rsidP="00916856">
      <w:pPr>
        <w:pStyle w:val="Title2"/>
        <w:spacing w:before="0" w:after="0" w:line="240" w:lineRule="auto"/>
        <w:ind w:left="0" w:firstLine="720"/>
        <w:rPr>
          <w:rFonts w:ascii="Times New Roman" w:hAnsi="Times New Roman"/>
          <w:color w:val="auto"/>
          <w:sz w:val="24"/>
          <w:szCs w:val="24"/>
          <w:lang w:val="ro-MD"/>
        </w:rPr>
      </w:pPr>
      <w:r w:rsidRPr="00312485">
        <w:rPr>
          <w:rFonts w:ascii="Times New Roman" w:hAnsi="Times New Roman"/>
          <w:color w:val="auto"/>
          <w:sz w:val="24"/>
          <w:szCs w:val="24"/>
          <w:lang w:val="ro-MD"/>
        </w:rPr>
        <w:t>Finanțarea internă</w:t>
      </w:r>
    </w:p>
    <w:p w14:paraId="7230DBE7" w14:textId="77777777"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 xml:space="preserve">Finanțarea internă netă a bugetului de stat se va diminua de la 2,3% din PIB în 2025 conform datelor aprobate la 1,8% în  anul 2028, pe fondul creșterii finanțării externe. </w:t>
      </w:r>
    </w:p>
    <w:p w14:paraId="57711D16" w14:textId="6ED5C5BB"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În prezent, emisiunile de valori mobiliare de stat sunt preponderent cu scadențe pe termen scurt</w:t>
      </w:r>
      <w:r w:rsidR="000D6EFE" w:rsidRPr="00312485">
        <w:rPr>
          <w:rFonts w:ascii="Times New Roman" w:hAnsi="Times New Roman"/>
          <w:sz w:val="24"/>
          <w:szCs w:val="24"/>
          <w:lang w:val="ro-MD"/>
        </w:rPr>
        <w:t>. C</w:t>
      </w:r>
      <w:r w:rsidRPr="00312485">
        <w:rPr>
          <w:rFonts w:ascii="Times New Roman" w:hAnsi="Times New Roman"/>
          <w:sz w:val="24"/>
          <w:szCs w:val="24"/>
          <w:lang w:val="ro-MD"/>
        </w:rPr>
        <w:t xml:space="preserve">u toate acestea, Ministerul Finanțelor își propune extinderea maturității valorilor mobiliare de stat și dezvoltarea pieței interne.  </w:t>
      </w:r>
    </w:p>
    <w:p w14:paraId="2975ABB0" w14:textId="171B7285"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 xml:space="preserve">Pentru sprijinirea dezvoltării pieței, la data de 31 iulie 2024, a fost lansată </w:t>
      </w:r>
      <w:r w:rsidRPr="00312485">
        <w:rPr>
          <w:rFonts w:ascii="Times New Roman" w:hAnsi="Times New Roman"/>
          <w:i/>
          <w:sz w:val="24"/>
          <w:szCs w:val="24"/>
          <w:lang w:val="ro-MD"/>
        </w:rPr>
        <w:t>Platforma de vânzare directă a valorilor mobiliare de stat</w:t>
      </w:r>
      <w:r w:rsidRPr="00312485">
        <w:rPr>
          <w:rFonts w:ascii="Times New Roman" w:hAnsi="Times New Roman"/>
          <w:sz w:val="24"/>
          <w:szCs w:val="24"/>
          <w:lang w:val="ro-MD"/>
        </w:rPr>
        <w:t xml:space="preserve"> către persoanele fizice în Republica Moldova (www.evms.md). De la lansare și până la 31 iulie 2025, prin intermediul platformei electronice au fost desfășurate 7 sesiuni de plasare a VMS, fiind oferite spre subscriere obligațiuni de stat cu maturități de 1-3 ani. La situația din 31 iulie 2025</w:t>
      </w:r>
      <w:r w:rsidR="000D6EFE" w:rsidRPr="00312485">
        <w:rPr>
          <w:rFonts w:ascii="Times New Roman" w:hAnsi="Times New Roman"/>
          <w:sz w:val="24"/>
          <w:szCs w:val="24"/>
          <w:lang w:val="ro-MD"/>
        </w:rPr>
        <w:t>,</w:t>
      </w:r>
      <w:r w:rsidRPr="00312485">
        <w:rPr>
          <w:rFonts w:ascii="Times New Roman" w:hAnsi="Times New Roman"/>
          <w:sz w:val="24"/>
          <w:szCs w:val="24"/>
          <w:lang w:val="ro-MD"/>
        </w:rPr>
        <w:t xml:space="preserve"> platforma numără 5 700 utilizatori activi.</w:t>
      </w:r>
    </w:p>
    <w:p w14:paraId="2248387C" w14:textId="77777777" w:rsidR="00916856" w:rsidRPr="00312485" w:rsidRDefault="00916856" w:rsidP="00916856">
      <w:pPr>
        <w:pStyle w:val="Title1"/>
        <w:spacing w:before="0" w:after="0" w:line="240" w:lineRule="auto"/>
        <w:rPr>
          <w:rFonts w:ascii="Times New Roman" w:hAnsi="Times New Roman"/>
          <w:color w:val="auto"/>
          <w:sz w:val="24"/>
          <w:szCs w:val="24"/>
          <w:lang w:val="ro-MD"/>
        </w:rPr>
      </w:pPr>
    </w:p>
    <w:p w14:paraId="47ABB3B4" w14:textId="77777777" w:rsidR="00916856" w:rsidRPr="00312485" w:rsidRDefault="00916856" w:rsidP="00916856">
      <w:pPr>
        <w:pStyle w:val="Title1"/>
        <w:spacing w:before="0" w:after="0" w:line="240" w:lineRule="auto"/>
        <w:ind w:firstLine="720"/>
        <w:rPr>
          <w:rFonts w:ascii="Times New Roman" w:hAnsi="Times New Roman"/>
          <w:i/>
          <w:color w:val="auto"/>
          <w:sz w:val="24"/>
          <w:szCs w:val="24"/>
          <w:lang w:val="ro-MD"/>
        </w:rPr>
      </w:pPr>
      <w:r w:rsidRPr="00312485">
        <w:rPr>
          <w:rFonts w:ascii="Times New Roman" w:hAnsi="Times New Roman"/>
          <w:i/>
          <w:color w:val="auto"/>
          <w:sz w:val="24"/>
          <w:szCs w:val="24"/>
          <w:lang w:val="ro-MD"/>
        </w:rPr>
        <w:t xml:space="preserve">Soldul și deservirea datoriei de stat </w:t>
      </w:r>
    </w:p>
    <w:p w14:paraId="2119E53F" w14:textId="1501E200"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Pe termen mediu, ponderea datoriei de stat în PIB se va majora de la 42,3% la sfârșitul anului 2026 până la 46,8% la sfârșitul anului 2028. În valori nominale soldul datoriei de stat va înregistra o majorare de la 160 974,0 mil. lei la sfârșitul anului 2026 până la 206 072,5 mil. lei la sf</w:t>
      </w:r>
      <w:r w:rsidR="000A7E8D" w:rsidRPr="00312485">
        <w:rPr>
          <w:rFonts w:ascii="Times New Roman" w:hAnsi="Times New Roman"/>
          <w:sz w:val="24"/>
          <w:szCs w:val="24"/>
          <w:lang w:val="ro-MD"/>
        </w:rPr>
        <w:t>ârșitul anului 2028 (tabelul 3.</w:t>
      </w:r>
      <w:r w:rsidR="00AF011A" w:rsidRPr="00312485">
        <w:rPr>
          <w:rFonts w:ascii="Times New Roman" w:hAnsi="Times New Roman"/>
          <w:sz w:val="24"/>
          <w:szCs w:val="24"/>
          <w:lang w:val="ro-MD"/>
        </w:rPr>
        <w:t>5</w:t>
      </w:r>
      <w:r w:rsidRPr="00312485">
        <w:rPr>
          <w:rFonts w:ascii="Times New Roman" w:hAnsi="Times New Roman"/>
          <w:sz w:val="24"/>
          <w:szCs w:val="24"/>
          <w:lang w:val="ro-MD"/>
        </w:rPr>
        <w:t xml:space="preserve">), </w:t>
      </w:r>
      <w:r w:rsidRPr="00312485">
        <w:rPr>
          <w:rFonts w:ascii="Times New Roman" w:hAnsi="Times New Roman"/>
          <w:color w:val="000000"/>
          <w:sz w:val="24"/>
          <w:szCs w:val="24"/>
          <w:lang w:val="ro-MD"/>
        </w:rPr>
        <w:t>dat fiind finanțarea netă internă și finanțarea netă externă – pozitivă în această perioadă</w:t>
      </w:r>
      <w:r w:rsidRPr="00312485">
        <w:rPr>
          <w:rFonts w:ascii="Times New Roman" w:hAnsi="Times New Roman"/>
          <w:sz w:val="24"/>
          <w:szCs w:val="24"/>
          <w:lang w:val="ro-MD"/>
        </w:rPr>
        <w:t xml:space="preserve">. </w:t>
      </w:r>
    </w:p>
    <w:p w14:paraId="63CDEC6B" w14:textId="52FDC153" w:rsidR="005A57F8" w:rsidRDefault="005A57F8" w:rsidP="00916856">
      <w:pPr>
        <w:pStyle w:val="Table"/>
        <w:spacing w:before="0" w:line="240" w:lineRule="auto"/>
        <w:ind w:firstLine="720"/>
        <w:jc w:val="right"/>
        <w:rPr>
          <w:rFonts w:ascii="Times New Roman" w:hAnsi="Times New Roman"/>
          <w:color w:val="auto"/>
          <w:sz w:val="22"/>
          <w:szCs w:val="24"/>
          <w:lang w:val="ro-MD"/>
        </w:rPr>
      </w:pPr>
    </w:p>
    <w:p w14:paraId="6BEE7D9E" w14:textId="77777777" w:rsidR="00B42627" w:rsidRDefault="00B42627" w:rsidP="00916856">
      <w:pPr>
        <w:pStyle w:val="Table"/>
        <w:spacing w:before="0" w:line="240" w:lineRule="auto"/>
        <w:ind w:firstLine="720"/>
        <w:jc w:val="right"/>
        <w:rPr>
          <w:rFonts w:ascii="Times New Roman" w:hAnsi="Times New Roman"/>
          <w:color w:val="auto"/>
          <w:sz w:val="22"/>
          <w:szCs w:val="24"/>
          <w:lang w:val="ro-MD"/>
        </w:rPr>
      </w:pPr>
    </w:p>
    <w:p w14:paraId="359FA48F" w14:textId="23508A14" w:rsidR="00916856" w:rsidRPr="00312485" w:rsidRDefault="00916856" w:rsidP="00916856">
      <w:pPr>
        <w:pStyle w:val="Table"/>
        <w:spacing w:before="0" w:line="240" w:lineRule="auto"/>
        <w:ind w:firstLine="720"/>
        <w:jc w:val="right"/>
        <w:rPr>
          <w:rFonts w:ascii="Times New Roman" w:hAnsi="Times New Roman"/>
          <w:color w:val="auto"/>
          <w:sz w:val="22"/>
          <w:szCs w:val="24"/>
          <w:lang w:val="ro-MD"/>
        </w:rPr>
      </w:pPr>
      <w:r w:rsidRPr="00312485">
        <w:rPr>
          <w:rFonts w:ascii="Times New Roman" w:hAnsi="Times New Roman"/>
          <w:color w:val="auto"/>
          <w:sz w:val="22"/>
          <w:szCs w:val="24"/>
          <w:lang w:val="ro-MD"/>
        </w:rPr>
        <w:t>Tabelul 3.</w:t>
      </w:r>
      <w:r w:rsidR="00AF011A" w:rsidRPr="00312485">
        <w:rPr>
          <w:rFonts w:ascii="Times New Roman" w:hAnsi="Times New Roman"/>
          <w:color w:val="auto"/>
          <w:sz w:val="22"/>
          <w:szCs w:val="24"/>
          <w:lang w:val="ro-MD"/>
        </w:rPr>
        <w:t>5</w:t>
      </w:r>
    </w:p>
    <w:p w14:paraId="4878E11C" w14:textId="77777777" w:rsidR="00916856" w:rsidRPr="00312485" w:rsidRDefault="00916856" w:rsidP="00916856">
      <w:pPr>
        <w:pStyle w:val="Table"/>
        <w:spacing w:before="0" w:line="240" w:lineRule="auto"/>
        <w:ind w:firstLine="720"/>
        <w:rPr>
          <w:rFonts w:ascii="Times New Roman" w:hAnsi="Times New Roman"/>
          <w:color w:val="auto"/>
          <w:sz w:val="24"/>
          <w:szCs w:val="24"/>
          <w:lang w:val="ro-MD"/>
        </w:rPr>
      </w:pPr>
      <w:r w:rsidRPr="00312485">
        <w:rPr>
          <w:rFonts w:ascii="Times New Roman" w:hAnsi="Times New Roman"/>
          <w:color w:val="auto"/>
          <w:sz w:val="28"/>
          <w:szCs w:val="28"/>
          <w:lang w:val="ro-MD"/>
        </w:rPr>
        <w:t xml:space="preserve"> </w:t>
      </w:r>
      <w:r w:rsidRPr="00312485">
        <w:rPr>
          <w:rFonts w:ascii="Times New Roman" w:hAnsi="Times New Roman"/>
          <w:color w:val="auto"/>
          <w:sz w:val="24"/>
          <w:szCs w:val="24"/>
          <w:lang w:val="ro-MD"/>
        </w:rPr>
        <w:t>Soldul datoriei de stat pentru anii 2023-2028</w:t>
      </w:r>
    </w:p>
    <w:p w14:paraId="35E794F1" w14:textId="544B7827" w:rsidR="00916856" w:rsidRPr="00312485" w:rsidRDefault="00916856" w:rsidP="00C07A24">
      <w:pPr>
        <w:pStyle w:val="Table"/>
        <w:spacing w:before="0" w:line="240" w:lineRule="auto"/>
        <w:ind w:firstLine="720"/>
        <w:jc w:val="right"/>
        <w:rPr>
          <w:color w:val="000000"/>
          <w:sz w:val="16"/>
          <w:szCs w:val="16"/>
          <w:lang w:val="ro-MD" w:eastAsia="ro-RO"/>
        </w:rPr>
      </w:pPr>
      <w:r w:rsidRPr="00031ABE">
        <w:rPr>
          <w:rFonts w:ascii="Times New Roman" w:hAnsi="Times New Roman"/>
          <w:b w:val="0"/>
          <w:sz w:val="18"/>
          <w:szCs w:val="20"/>
          <w:lang w:val="ro-MD"/>
        </w:rPr>
        <w:t>(</w:t>
      </w:r>
      <w:r w:rsidRPr="00031ABE">
        <w:rPr>
          <w:rFonts w:ascii="Times New Roman" w:hAnsi="Times New Roman"/>
          <w:b w:val="0"/>
          <w:color w:val="000000"/>
          <w:sz w:val="18"/>
          <w:szCs w:val="20"/>
          <w:lang w:val="ro-MD" w:eastAsia="ro-RO"/>
        </w:rPr>
        <w:t>% din PIB</w:t>
      </w:r>
      <w:r w:rsidRPr="00312485">
        <w:rPr>
          <w:rFonts w:ascii="Times New Roman" w:hAnsi="Times New Roman"/>
          <w:b w:val="0"/>
          <w:color w:val="000000"/>
          <w:szCs w:val="20"/>
          <w:lang w:val="ro-MD" w:eastAsia="ro-RO"/>
        </w:rPr>
        <w:t>)</w:t>
      </w:r>
    </w:p>
    <w:tbl>
      <w:tblPr>
        <w:tblW w:w="93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91"/>
        <w:gridCol w:w="891"/>
        <w:gridCol w:w="891"/>
        <w:gridCol w:w="966"/>
        <w:gridCol w:w="1006"/>
        <w:gridCol w:w="1006"/>
        <w:gridCol w:w="1006"/>
      </w:tblGrid>
      <w:tr w:rsidR="00C07A24" w:rsidRPr="00312485" w14:paraId="42399C25" w14:textId="77777777" w:rsidTr="00F95340">
        <w:trPr>
          <w:trHeight w:val="300"/>
          <w:tblHeader/>
        </w:trPr>
        <w:tc>
          <w:tcPr>
            <w:tcW w:w="2694" w:type="dxa"/>
            <w:vMerge w:val="restart"/>
            <w:shd w:val="clear" w:color="auto" w:fill="auto"/>
            <w:noWrap/>
            <w:vAlign w:val="bottom"/>
            <w:hideMark/>
          </w:tcPr>
          <w:p w14:paraId="743E7803" w14:textId="77777777" w:rsidR="00C07A24" w:rsidRPr="00312485" w:rsidRDefault="00C07A24" w:rsidP="00507FE7">
            <w:pPr>
              <w:ind w:firstLine="0"/>
              <w:jc w:val="center"/>
              <w:rPr>
                <w:color w:val="000000"/>
                <w:sz w:val="18"/>
                <w:szCs w:val="18"/>
                <w:lang w:val="ro-MD" w:eastAsia="en-GB"/>
              </w:rPr>
            </w:pPr>
            <w:r w:rsidRPr="00312485">
              <w:rPr>
                <w:color w:val="000000"/>
                <w:sz w:val="18"/>
                <w:szCs w:val="18"/>
                <w:lang w:val="ro-MD" w:eastAsia="en-GB"/>
              </w:rPr>
              <w:t> </w:t>
            </w:r>
          </w:p>
          <w:p w14:paraId="1B8EFCD5" w14:textId="77777777" w:rsidR="00C07A24" w:rsidRPr="00312485" w:rsidRDefault="00C07A24" w:rsidP="00507FE7">
            <w:pPr>
              <w:ind w:firstLine="0"/>
              <w:jc w:val="center"/>
              <w:rPr>
                <w:color w:val="000000"/>
                <w:sz w:val="18"/>
                <w:szCs w:val="18"/>
                <w:lang w:val="ro-MD" w:eastAsia="en-GB"/>
              </w:rPr>
            </w:pPr>
            <w:r w:rsidRPr="00312485">
              <w:rPr>
                <w:color w:val="000000"/>
                <w:sz w:val="18"/>
                <w:szCs w:val="18"/>
                <w:lang w:val="ro-MD" w:eastAsia="en-GB"/>
              </w:rPr>
              <w:t> </w:t>
            </w:r>
          </w:p>
          <w:p w14:paraId="2B2E53D5" w14:textId="57864707" w:rsidR="00C07A24" w:rsidRPr="00312485" w:rsidRDefault="00C07A24" w:rsidP="00507FE7">
            <w:pPr>
              <w:ind w:firstLine="0"/>
              <w:jc w:val="center"/>
              <w:rPr>
                <w:lang w:val="ro-MD" w:eastAsia="en-GB"/>
              </w:rPr>
            </w:pPr>
            <w:r w:rsidRPr="00312485">
              <w:rPr>
                <w:color w:val="000000"/>
                <w:sz w:val="18"/>
                <w:szCs w:val="18"/>
                <w:lang w:val="ro-MD" w:eastAsia="en-GB"/>
              </w:rPr>
              <w:t> </w:t>
            </w:r>
          </w:p>
        </w:tc>
        <w:tc>
          <w:tcPr>
            <w:tcW w:w="891" w:type="dxa"/>
            <w:tcBorders>
              <w:bottom w:val="nil"/>
            </w:tcBorders>
            <w:shd w:val="clear" w:color="auto" w:fill="auto"/>
            <w:noWrap/>
            <w:vAlign w:val="center"/>
            <w:hideMark/>
          </w:tcPr>
          <w:p w14:paraId="2B52D0CC"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2023</w:t>
            </w:r>
          </w:p>
        </w:tc>
        <w:tc>
          <w:tcPr>
            <w:tcW w:w="891" w:type="dxa"/>
            <w:tcBorders>
              <w:bottom w:val="nil"/>
            </w:tcBorders>
            <w:shd w:val="clear" w:color="auto" w:fill="auto"/>
            <w:noWrap/>
            <w:vAlign w:val="center"/>
            <w:hideMark/>
          </w:tcPr>
          <w:p w14:paraId="2320E15A"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2024</w:t>
            </w:r>
          </w:p>
        </w:tc>
        <w:tc>
          <w:tcPr>
            <w:tcW w:w="891" w:type="dxa"/>
            <w:tcBorders>
              <w:bottom w:val="nil"/>
            </w:tcBorders>
            <w:shd w:val="clear" w:color="auto" w:fill="auto"/>
            <w:noWrap/>
            <w:vAlign w:val="center"/>
            <w:hideMark/>
          </w:tcPr>
          <w:p w14:paraId="3F71F8DC"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2025</w:t>
            </w:r>
          </w:p>
        </w:tc>
        <w:tc>
          <w:tcPr>
            <w:tcW w:w="966" w:type="dxa"/>
            <w:tcBorders>
              <w:bottom w:val="nil"/>
            </w:tcBorders>
            <w:shd w:val="clear" w:color="auto" w:fill="auto"/>
            <w:noWrap/>
            <w:vAlign w:val="center"/>
            <w:hideMark/>
          </w:tcPr>
          <w:p w14:paraId="1264EE7C"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2025</w:t>
            </w:r>
          </w:p>
        </w:tc>
        <w:tc>
          <w:tcPr>
            <w:tcW w:w="1006" w:type="dxa"/>
            <w:tcBorders>
              <w:bottom w:val="nil"/>
            </w:tcBorders>
            <w:shd w:val="clear" w:color="auto" w:fill="auto"/>
            <w:noWrap/>
            <w:vAlign w:val="center"/>
            <w:hideMark/>
          </w:tcPr>
          <w:p w14:paraId="451DC75D"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2026</w:t>
            </w:r>
          </w:p>
        </w:tc>
        <w:tc>
          <w:tcPr>
            <w:tcW w:w="1006" w:type="dxa"/>
            <w:tcBorders>
              <w:bottom w:val="nil"/>
            </w:tcBorders>
            <w:shd w:val="clear" w:color="auto" w:fill="auto"/>
            <w:noWrap/>
            <w:vAlign w:val="center"/>
            <w:hideMark/>
          </w:tcPr>
          <w:p w14:paraId="22761D18"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2027</w:t>
            </w:r>
          </w:p>
        </w:tc>
        <w:tc>
          <w:tcPr>
            <w:tcW w:w="1006" w:type="dxa"/>
            <w:tcBorders>
              <w:bottom w:val="nil"/>
            </w:tcBorders>
            <w:shd w:val="clear" w:color="auto" w:fill="auto"/>
            <w:vAlign w:val="center"/>
            <w:hideMark/>
          </w:tcPr>
          <w:p w14:paraId="2846E12F"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2028</w:t>
            </w:r>
          </w:p>
        </w:tc>
      </w:tr>
      <w:tr w:rsidR="00C07A24" w:rsidRPr="00312485" w14:paraId="7D51220F" w14:textId="77777777" w:rsidTr="00F95340">
        <w:trPr>
          <w:trHeight w:val="315"/>
          <w:tblHeader/>
        </w:trPr>
        <w:tc>
          <w:tcPr>
            <w:tcW w:w="2694" w:type="dxa"/>
            <w:vMerge/>
            <w:shd w:val="clear" w:color="auto" w:fill="auto"/>
            <w:noWrap/>
            <w:vAlign w:val="center"/>
            <w:hideMark/>
          </w:tcPr>
          <w:p w14:paraId="15B6158F" w14:textId="44D32BA7" w:rsidR="00C07A24" w:rsidRPr="00312485" w:rsidRDefault="00C07A24" w:rsidP="00507FE7">
            <w:pPr>
              <w:ind w:firstLine="0"/>
              <w:jc w:val="center"/>
              <w:rPr>
                <w:color w:val="000000"/>
                <w:sz w:val="18"/>
                <w:szCs w:val="18"/>
                <w:lang w:val="ro-MD" w:eastAsia="en-GB"/>
              </w:rPr>
            </w:pPr>
          </w:p>
        </w:tc>
        <w:tc>
          <w:tcPr>
            <w:tcW w:w="891" w:type="dxa"/>
            <w:tcBorders>
              <w:top w:val="nil"/>
            </w:tcBorders>
            <w:shd w:val="clear" w:color="auto" w:fill="auto"/>
            <w:noWrap/>
            <w:vAlign w:val="center"/>
            <w:hideMark/>
          </w:tcPr>
          <w:p w14:paraId="0565DD54"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Efectiv</w:t>
            </w:r>
          </w:p>
        </w:tc>
        <w:tc>
          <w:tcPr>
            <w:tcW w:w="891" w:type="dxa"/>
            <w:tcBorders>
              <w:top w:val="nil"/>
            </w:tcBorders>
            <w:shd w:val="clear" w:color="auto" w:fill="auto"/>
            <w:noWrap/>
            <w:vAlign w:val="center"/>
            <w:hideMark/>
          </w:tcPr>
          <w:p w14:paraId="2FE892D8"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Efectiv</w:t>
            </w:r>
          </w:p>
        </w:tc>
        <w:tc>
          <w:tcPr>
            <w:tcW w:w="891" w:type="dxa"/>
            <w:tcBorders>
              <w:top w:val="nil"/>
            </w:tcBorders>
            <w:shd w:val="clear" w:color="auto" w:fill="auto"/>
            <w:noWrap/>
            <w:vAlign w:val="center"/>
            <w:hideMark/>
          </w:tcPr>
          <w:p w14:paraId="08562C35"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Aprobat</w:t>
            </w:r>
          </w:p>
        </w:tc>
        <w:tc>
          <w:tcPr>
            <w:tcW w:w="966" w:type="dxa"/>
            <w:tcBorders>
              <w:top w:val="nil"/>
            </w:tcBorders>
            <w:shd w:val="clear" w:color="auto" w:fill="auto"/>
            <w:noWrap/>
            <w:vAlign w:val="center"/>
            <w:hideMark/>
          </w:tcPr>
          <w:p w14:paraId="6CEAA885"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Modificat</w:t>
            </w:r>
          </w:p>
        </w:tc>
        <w:tc>
          <w:tcPr>
            <w:tcW w:w="1006" w:type="dxa"/>
            <w:tcBorders>
              <w:top w:val="nil"/>
            </w:tcBorders>
            <w:shd w:val="clear" w:color="auto" w:fill="auto"/>
            <w:noWrap/>
            <w:vAlign w:val="center"/>
            <w:hideMark/>
          </w:tcPr>
          <w:p w14:paraId="014FEA29"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Prognozat</w:t>
            </w:r>
          </w:p>
        </w:tc>
        <w:tc>
          <w:tcPr>
            <w:tcW w:w="1006" w:type="dxa"/>
            <w:tcBorders>
              <w:top w:val="nil"/>
            </w:tcBorders>
            <w:shd w:val="clear" w:color="auto" w:fill="auto"/>
            <w:noWrap/>
            <w:vAlign w:val="center"/>
            <w:hideMark/>
          </w:tcPr>
          <w:p w14:paraId="71D6D379"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Prognozat</w:t>
            </w:r>
          </w:p>
        </w:tc>
        <w:tc>
          <w:tcPr>
            <w:tcW w:w="1006" w:type="dxa"/>
            <w:tcBorders>
              <w:top w:val="nil"/>
            </w:tcBorders>
            <w:shd w:val="clear" w:color="auto" w:fill="auto"/>
            <w:vAlign w:val="center"/>
            <w:hideMark/>
          </w:tcPr>
          <w:p w14:paraId="597BCC15" w14:textId="77777777" w:rsidR="00C07A24" w:rsidRPr="00312485" w:rsidRDefault="00C07A24" w:rsidP="00507FE7">
            <w:pPr>
              <w:ind w:firstLine="0"/>
              <w:jc w:val="center"/>
              <w:rPr>
                <w:b/>
                <w:bCs/>
                <w:color w:val="000000"/>
                <w:sz w:val="18"/>
                <w:szCs w:val="18"/>
                <w:lang w:val="ro-MD" w:eastAsia="en-GB"/>
              </w:rPr>
            </w:pPr>
            <w:r w:rsidRPr="00312485">
              <w:rPr>
                <w:b/>
                <w:bCs/>
                <w:color w:val="000000"/>
                <w:sz w:val="18"/>
                <w:szCs w:val="18"/>
                <w:lang w:val="ro-MD" w:eastAsia="en-GB"/>
              </w:rPr>
              <w:t>Prognozat</w:t>
            </w:r>
          </w:p>
        </w:tc>
      </w:tr>
      <w:tr w:rsidR="00916856" w:rsidRPr="00312485" w14:paraId="5F240BFE" w14:textId="77777777" w:rsidTr="00F95340">
        <w:trPr>
          <w:trHeight w:val="300"/>
        </w:trPr>
        <w:tc>
          <w:tcPr>
            <w:tcW w:w="2694" w:type="dxa"/>
            <w:shd w:val="clear" w:color="auto" w:fill="auto"/>
            <w:noWrap/>
            <w:vAlign w:val="center"/>
            <w:hideMark/>
          </w:tcPr>
          <w:p w14:paraId="03E5CCDB" w14:textId="77777777" w:rsidR="00765EFE" w:rsidRPr="00312485" w:rsidRDefault="00916856" w:rsidP="00507FE7">
            <w:pPr>
              <w:ind w:firstLine="0"/>
              <w:jc w:val="left"/>
              <w:rPr>
                <w:b/>
                <w:bCs/>
                <w:color w:val="000000"/>
                <w:sz w:val="18"/>
                <w:szCs w:val="18"/>
                <w:lang w:val="ro-MD" w:eastAsia="en-GB"/>
              </w:rPr>
            </w:pPr>
            <w:r w:rsidRPr="00312485">
              <w:rPr>
                <w:b/>
                <w:bCs/>
                <w:color w:val="000000"/>
                <w:sz w:val="18"/>
                <w:szCs w:val="18"/>
                <w:lang w:val="ro-MD" w:eastAsia="en-GB"/>
              </w:rPr>
              <w:t xml:space="preserve">Total Soldul datoriei </w:t>
            </w:r>
          </w:p>
          <w:p w14:paraId="2C9490E3" w14:textId="2A2C632F" w:rsidR="00916856" w:rsidRPr="00312485" w:rsidRDefault="00916856" w:rsidP="00507FE7">
            <w:pPr>
              <w:ind w:firstLine="0"/>
              <w:jc w:val="left"/>
              <w:rPr>
                <w:b/>
                <w:bCs/>
                <w:color w:val="000000"/>
                <w:sz w:val="18"/>
                <w:szCs w:val="18"/>
                <w:lang w:val="ro-MD" w:eastAsia="en-GB"/>
              </w:rPr>
            </w:pPr>
            <w:r w:rsidRPr="00312485">
              <w:rPr>
                <w:b/>
                <w:bCs/>
                <w:color w:val="000000"/>
                <w:sz w:val="18"/>
                <w:szCs w:val="18"/>
                <w:lang w:val="ro-MD" w:eastAsia="en-GB"/>
              </w:rPr>
              <w:t>(la sfârșitul anului de gestiune)</w:t>
            </w:r>
          </w:p>
        </w:tc>
        <w:tc>
          <w:tcPr>
            <w:tcW w:w="891" w:type="dxa"/>
            <w:shd w:val="clear" w:color="auto" w:fill="auto"/>
            <w:noWrap/>
            <w:vAlign w:val="center"/>
            <w:hideMark/>
          </w:tcPr>
          <w:p w14:paraId="5A871C9F"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34.3</w:t>
            </w:r>
          </w:p>
        </w:tc>
        <w:tc>
          <w:tcPr>
            <w:tcW w:w="891" w:type="dxa"/>
            <w:shd w:val="clear" w:color="auto" w:fill="auto"/>
            <w:noWrap/>
            <w:vAlign w:val="center"/>
            <w:hideMark/>
          </w:tcPr>
          <w:p w14:paraId="0C61D688"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37.5</w:t>
            </w:r>
          </w:p>
        </w:tc>
        <w:tc>
          <w:tcPr>
            <w:tcW w:w="891" w:type="dxa"/>
            <w:shd w:val="clear" w:color="auto" w:fill="auto"/>
            <w:noWrap/>
            <w:vAlign w:val="center"/>
            <w:hideMark/>
          </w:tcPr>
          <w:p w14:paraId="206FDFEC"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38.8</w:t>
            </w:r>
          </w:p>
        </w:tc>
        <w:tc>
          <w:tcPr>
            <w:tcW w:w="966" w:type="dxa"/>
            <w:shd w:val="clear" w:color="auto" w:fill="auto"/>
            <w:noWrap/>
            <w:vAlign w:val="center"/>
            <w:hideMark/>
          </w:tcPr>
          <w:p w14:paraId="7EEE2344"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39.9</w:t>
            </w:r>
          </w:p>
        </w:tc>
        <w:tc>
          <w:tcPr>
            <w:tcW w:w="1006" w:type="dxa"/>
            <w:shd w:val="clear" w:color="auto" w:fill="auto"/>
            <w:noWrap/>
            <w:vAlign w:val="center"/>
            <w:hideMark/>
          </w:tcPr>
          <w:p w14:paraId="10CBF34C"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42.3</w:t>
            </w:r>
          </w:p>
        </w:tc>
        <w:tc>
          <w:tcPr>
            <w:tcW w:w="1006" w:type="dxa"/>
            <w:shd w:val="clear" w:color="auto" w:fill="auto"/>
            <w:noWrap/>
            <w:vAlign w:val="center"/>
            <w:hideMark/>
          </w:tcPr>
          <w:p w14:paraId="7B416D5E"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45.0</w:t>
            </w:r>
          </w:p>
        </w:tc>
        <w:tc>
          <w:tcPr>
            <w:tcW w:w="1006" w:type="dxa"/>
            <w:shd w:val="clear" w:color="auto" w:fill="auto"/>
            <w:noWrap/>
            <w:vAlign w:val="center"/>
            <w:hideMark/>
          </w:tcPr>
          <w:p w14:paraId="180DA949" w14:textId="77777777" w:rsidR="00916856" w:rsidRPr="00312485" w:rsidRDefault="00916856" w:rsidP="00765EFE">
            <w:pPr>
              <w:ind w:firstLine="0"/>
              <w:jc w:val="center"/>
              <w:rPr>
                <w:b/>
                <w:bCs/>
                <w:color w:val="000000"/>
                <w:sz w:val="18"/>
                <w:szCs w:val="18"/>
                <w:lang w:val="ro-MD" w:eastAsia="en-GB"/>
              </w:rPr>
            </w:pPr>
            <w:r w:rsidRPr="00312485">
              <w:rPr>
                <w:b/>
                <w:bCs/>
                <w:color w:val="000000"/>
                <w:sz w:val="18"/>
                <w:szCs w:val="18"/>
                <w:lang w:val="ro-MD" w:eastAsia="en-GB"/>
              </w:rPr>
              <w:t>46.8</w:t>
            </w:r>
          </w:p>
        </w:tc>
      </w:tr>
      <w:tr w:rsidR="00675B35" w:rsidRPr="00312485" w14:paraId="5762F0D2" w14:textId="77777777" w:rsidTr="00F95340">
        <w:trPr>
          <w:trHeight w:val="300"/>
        </w:trPr>
        <w:tc>
          <w:tcPr>
            <w:tcW w:w="2694" w:type="dxa"/>
            <w:shd w:val="clear" w:color="auto" w:fill="auto"/>
            <w:noWrap/>
            <w:vAlign w:val="center"/>
            <w:hideMark/>
          </w:tcPr>
          <w:p w14:paraId="10056BB8" w14:textId="77777777" w:rsidR="00675B35" w:rsidRPr="00312485" w:rsidRDefault="00675B35" w:rsidP="00675B35">
            <w:pPr>
              <w:ind w:firstLine="0"/>
              <w:jc w:val="right"/>
              <w:rPr>
                <w:color w:val="000000"/>
                <w:sz w:val="18"/>
                <w:szCs w:val="18"/>
                <w:lang w:val="ro-MD" w:eastAsia="en-GB"/>
              </w:rPr>
            </w:pPr>
            <w:r w:rsidRPr="00312485">
              <w:rPr>
                <w:color w:val="000000"/>
                <w:sz w:val="18"/>
                <w:szCs w:val="18"/>
                <w:lang w:val="ro-MD" w:eastAsia="en-GB"/>
              </w:rPr>
              <w:t>Datoria  externă</w:t>
            </w:r>
          </w:p>
        </w:tc>
        <w:tc>
          <w:tcPr>
            <w:tcW w:w="891" w:type="dxa"/>
            <w:shd w:val="clear" w:color="auto" w:fill="auto"/>
            <w:vAlign w:val="center"/>
            <w:hideMark/>
          </w:tcPr>
          <w:p w14:paraId="3B0228B1"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21.2</w:t>
            </w:r>
          </w:p>
        </w:tc>
        <w:tc>
          <w:tcPr>
            <w:tcW w:w="891" w:type="dxa"/>
            <w:shd w:val="clear" w:color="auto" w:fill="auto"/>
            <w:vAlign w:val="center"/>
            <w:hideMark/>
          </w:tcPr>
          <w:p w14:paraId="5CDFE6A4"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23.9</w:t>
            </w:r>
          </w:p>
        </w:tc>
        <w:tc>
          <w:tcPr>
            <w:tcW w:w="891" w:type="dxa"/>
            <w:shd w:val="clear" w:color="auto" w:fill="auto"/>
            <w:vAlign w:val="center"/>
            <w:hideMark/>
          </w:tcPr>
          <w:p w14:paraId="14A00157"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23.6</w:t>
            </w:r>
          </w:p>
        </w:tc>
        <w:tc>
          <w:tcPr>
            <w:tcW w:w="966" w:type="dxa"/>
            <w:shd w:val="clear" w:color="auto" w:fill="auto"/>
            <w:vAlign w:val="center"/>
            <w:hideMark/>
          </w:tcPr>
          <w:p w14:paraId="59601F53"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24.8</w:t>
            </w:r>
          </w:p>
        </w:tc>
        <w:tc>
          <w:tcPr>
            <w:tcW w:w="1006" w:type="dxa"/>
            <w:shd w:val="clear" w:color="auto" w:fill="auto"/>
            <w:vAlign w:val="center"/>
            <w:hideMark/>
          </w:tcPr>
          <w:p w14:paraId="579EA03F"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26.2</w:t>
            </w:r>
          </w:p>
        </w:tc>
        <w:tc>
          <w:tcPr>
            <w:tcW w:w="1006" w:type="dxa"/>
            <w:shd w:val="clear" w:color="auto" w:fill="auto"/>
            <w:vAlign w:val="center"/>
            <w:hideMark/>
          </w:tcPr>
          <w:p w14:paraId="7B767CB5"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27.9</w:t>
            </w:r>
          </w:p>
        </w:tc>
        <w:tc>
          <w:tcPr>
            <w:tcW w:w="1006" w:type="dxa"/>
            <w:shd w:val="clear" w:color="auto" w:fill="auto"/>
            <w:vAlign w:val="center"/>
            <w:hideMark/>
          </w:tcPr>
          <w:p w14:paraId="0B9B1435"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28.9</w:t>
            </w:r>
          </w:p>
        </w:tc>
      </w:tr>
      <w:tr w:rsidR="00675B35" w:rsidRPr="00312485" w14:paraId="4AFFF5A5" w14:textId="77777777" w:rsidTr="00F95340">
        <w:trPr>
          <w:trHeight w:val="315"/>
        </w:trPr>
        <w:tc>
          <w:tcPr>
            <w:tcW w:w="2694" w:type="dxa"/>
            <w:shd w:val="clear" w:color="auto" w:fill="auto"/>
            <w:noWrap/>
            <w:vAlign w:val="center"/>
            <w:hideMark/>
          </w:tcPr>
          <w:p w14:paraId="4B40B527" w14:textId="21304218" w:rsidR="00675B35" w:rsidRPr="00312485" w:rsidRDefault="00675B35" w:rsidP="00675B35">
            <w:pPr>
              <w:ind w:firstLine="0"/>
              <w:jc w:val="right"/>
              <w:rPr>
                <w:color w:val="000000"/>
                <w:sz w:val="18"/>
                <w:szCs w:val="18"/>
                <w:lang w:val="ro-MD" w:eastAsia="en-GB"/>
              </w:rPr>
            </w:pPr>
            <w:r w:rsidRPr="00312485">
              <w:rPr>
                <w:color w:val="000000"/>
                <w:sz w:val="18"/>
                <w:szCs w:val="18"/>
                <w:lang w:val="ro-MD" w:eastAsia="en-GB"/>
              </w:rPr>
              <w:t>Datoria internă</w:t>
            </w:r>
          </w:p>
        </w:tc>
        <w:tc>
          <w:tcPr>
            <w:tcW w:w="891" w:type="dxa"/>
            <w:shd w:val="clear" w:color="auto" w:fill="auto"/>
            <w:vAlign w:val="center"/>
            <w:hideMark/>
          </w:tcPr>
          <w:p w14:paraId="0C726839"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13.1</w:t>
            </w:r>
          </w:p>
        </w:tc>
        <w:tc>
          <w:tcPr>
            <w:tcW w:w="891" w:type="dxa"/>
            <w:shd w:val="clear" w:color="auto" w:fill="auto"/>
            <w:vAlign w:val="center"/>
            <w:hideMark/>
          </w:tcPr>
          <w:p w14:paraId="1C14F806"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13.6</w:t>
            </w:r>
          </w:p>
        </w:tc>
        <w:tc>
          <w:tcPr>
            <w:tcW w:w="891" w:type="dxa"/>
            <w:shd w:val="clear" w:color="auto" w:fill="auto"/>
            <w:vAlign w:val="center"/>
            <w:hideMark/>
          </w:tcPr>
          <w:p w14:paraId="6B7BC330"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15.2</w:t>
            </w:r>
          </w:p>
        </w:tc>
        <w:tc>
          <w:tcPr>
            <w:tcW w:w="966" w:type="dxa"/>
            <w:shd w:val="clear" w:color="auto" w:fill="auto"/>
            <w:vAlign w:val="center"/>
            <w:hideMark/>
          </w:tcPr>
          <w:p w14:paraId="05FBED72"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15.1</w:t>
            </w:r>
          </w:p>
        </w:tc>
        <w:tc>
          <w:tcPr>
            <w:tcW w:w="1006" w:type="dxa"/>
            <w:shd w:val="clear" w:color="auto" w:fill="auto"/>
            <w:vAlign w:val="center"/>
            <w:hideMark/>
          </w:tcPr>
          <w:p w14:paraId="2CD0DC32"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16.1</w:t>
            </w:r>
          </w:p>
        </w:tc>
        <w:tc>
          <w:tcPr>
            <w:tcW w:w="1006" w:type="dxa"/>
            <w:shd w:val="clear" w:color="auto" w:fill="auto"/>
            <w:vAlign w:val="center"/>
            <w:hideMark/>
          </w:tcPr>
          <w:p w14:paraId="639C4354"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17.1</w:t>
            </w:r>
          </w:p>
        </w:tc>
        <w:tc>
          <w:tcPr>
            <w:tcW w:w="1006" w:type="dxa"/>
            <w:shd w:val="clear" w:color="auto" w:fill="auto"/>
            <w:vAlign w:val="center"/>
            <w:hideMark/>
          </w:tcPr>
          <w:p w14:paraId="7CCFCD32" w14:textId="77777777" w:rsidR="00675B35" w:rsidRPr="00312485" w:rsidRDefault="00675B35" w:rsidP="00765EFE">
            <w:pPr>
              <w:ind w:firstLine="0"/>
              <w:jc w:val="center"/>
              <w:rPr>
                <w:color w:val="000000"/>
                <w:sz w:val="18"/>
                <w:szCs w:val="18"/>
                <w:lang w:val="ro-MD" w:eastAsia="en-GB"/>
              </w:rPr>
            </w:pPr>
            <w:r w:rsidRPr="00312485">
              <w:rPr>
                <w:color w:val="000000"/>
                <w:sz w:val="18"/>
                <w:szCs w:val="18"/>
                <w:lang w:val="ro-MD" w:eastAsia="en-GB"/>
              </w:rPr>
              <w:t>17.9</w:t>
            </w:r>
          </w:p>
        </w:tc>
      </w:tr>
      <w:tr w:rsidR="00C07A24" w:rsidRPr="00312485" w14:paraId="2A20BAF4" w14:textId="77777777" w:rsidTr="00F95340">
        <w:trPr>
          <w:trHeight w:val="300"/>
        </w:trPr>
        <w:tc>
          <w:tcPr>
            <w:tcW w:w="2694" w:type="dxa"/>
            <w:shd w:val="clear" w:color="auto" w:fill="auto"/>
            <w:noWrap/>
            <w:vAlign w:val="bottom"/>
            <w:hideMark/>
          </w:tcPr>
          <w:p w14:paraId="587F85CB" w14:textId="77777777" w:rsidR="00C07A24" w:rsidRPr="00312485" w:rsidRDefault="00C07A24" w:rsidP="00507FE7">
            <w:pPr>
              <w:ind w:firstLine="0"/>
              <w:jc w:val="left"/>
              <w:rPr>
                <w:rFonts w:ascii="Calibri" w:hAnsi="Calibri" w:cs="Calibri"/>
                <w:color w:val="000000"/>
                <w:sz w:val="22"/>
                <w:szCs w:val="22"/>
                <w:lang w:val="ro-MD" w:eastAsia="en-GB"/>
              </w:rPr>
            </w:pPr>
            <w:r w:rsidRPr="00312485">
              <w:rPr>
                <w:rFonts w:ascii="Calibri" w:hAnsi="Calibri" w:cs="Calibri"/>
                <w:color w:val="000000"/>
                <w:sz w:val="22"/>
                <w:szCs w:val="22"/>
                <w:lang w:val="ro-MD" w:eastAsia="en-GB"/>
              </w:rPr>
              <w:lastRenderedPageBreak/>
              <w:t> </w:t>
            </w:r>
          </w:p>
        </w:tc>
        <w:tc>
          <w:tcPr>
            <w:tcW w:w="6657" w:type="dxa"/>
            <w:gridSpan w:val="7"/>
            <w:shd w:val="clear" w:color="auto" w:fill="auto"/>
            <w:noWrap/>
            <w:vAlign w:val="center"/>
            <w:hideMark/>
          </w:tcPr>
          <w:p w14:paraId="450D4BC6" w14:textId="51D3A2F4" w:rsidR="00C07A24" w:rsidRPr="00312485" w:rsidRDefault="00C07A24" w:rsidP="00C07A24">
            <w:pPr>
              <w:ind w:firstLine="0"/>
              <w:jc w:val="right"/>
              <w:rPr>
                <w:color w:val="0F243E"/>
                <w:sz w:val="18"/>
                <w:szCs w:val="18"/>
                <w:lang w:val="ro-MD" w:eastAsia="en-GB"/>
              </w:rPr>
            </w:pPr>
            <w:r w:rsidRPr="00312485">
              <w:rPr>
                <w:color w:val="0F243E"/>
                <w:sz w:val="18"/>
                <w:szCs w:val="18"/>
                <w:lang w:val="ro-MD" w:eastAsia="en-GB"/>
              </w:rPr>
              <w:t xml:space="preserve">       (</w:t>
            </w:r>
            <w:r w:rsidRPr="00312485">
              <w:rPr>
                <w:color w:val="000000"/>
                <w:sz w:val="18"/>
                <w:szCs w:val="18"/>
                <w:lang w:val="ro-MD" w:eastAsia="en-GB"/>
              </w:rPr>
              <w:t>mil. lei)</w:t>
            </w:r>
            <w:r w:rsidRPr="00312485">
              <w:rPr>
                <w:color w:val="0F243E"/>
                <w:sz w:val="18"/>
                <w:szCs w:val="18"/>
                <w:lang w:val="ro-MD" w:eastAsia="en-GB"/>
              </w:rPr>
              <w:t> </w:t>
            </w:r>
          </w:p>
        </w:tc>
      </w:tr>
      <w:tr w:rsidR="00916856" w:rsidRPr="00312485" w14:paraId="40B0BE97" w14:textId="77777777" w:rsidTr="00F95340">
        <w:trPr>
          <w:trHeight w:val="300"/>
        </w:trPr>
        <w:tc>
          <w:tcPr>
            <w:tcW w:w="2694" w:type="dxa"/>
            <w:shd w:val="clear" w:color="auto" w:fill="auto"/>
            <w:noWrap/>
            <w:vAlign w:val="center"/>
            <w:hideMark/>
          </w:tcPr>
          <w:p w14:paraId="79BD3871" w14:textId="7CD891AA" w:rsidR="00765EFE" w:rsidRPr="00312485" w:rsidRDefault="00916856" w:rsidP="00507FE7">
            <w:pPr>
              <w:ind w:firstLine="0"/>
              <w:jc w:val="left"/>
              <w:rPr>
                <w:b/>
                <w:bCs/>
                <w:color w:val="000000"/>
                <w:sz w:val="18"/>
                <w:szCs w:val="18"/>
                <w:lang w:val="ro-MD" w:eastAsia="en-GB"/>
              </w:rPr>
            </w:pPr>
            <w:r w:rsidRPr="00312485">
              <w:rPr>
                <w:b/>
                <w:bCs/>
                <w:color w:val="000000"/>
                <w:sz w:val="18"/>
                <w:szCs w:val="18"/>
                <w:lang w:val="ro-MD" w:eastAsia="en-GB"/>
              </w:rPr>
              <w:t xml:space="preserve"> Total  Soldul datoriei </w:t>
            </w:r>
          </w:p>
          <w:p w14:paraId="44B0FC2E" w14:textId="735AB421" w:rsidR="00916856" w:rsidRPr="00312485" w:rsidRDefault="00916856" w:rsidP="00507FE7">
            <w:pPr>
              <w:ind w:firstLine="0"/>
              <w:jc w:val="left"/>
              <w:rPr>
                <w:b/>
                <w:bCs/>
                <w:color w:val="000000"/>
                <w:sz w:val="18"/>
                <w:szCs w:val="18"/>
                <w:lang w:val="ro-MD" w:eastAsia="en-GB"/>
              </w:rPr>
            </w:pPr>
            <w:r w:rsidRPr="00312485">
              <w:rPr>
                <w:b/>
                <w:bCs/>
                <w:color w:val="000000"/>
                <w:sz w:val="18"/>
                <w:szCs w:val="18"/>
                <w:lang w:val="ro-MD" w:eastAsia="en-GB"/>
              </w:rPr>
              <w:t>(la sfârșitul anului de gestiune)</w:t>
            </w:r>
          </w:p>
        </w:tc>
        <w:tc>
          <w:tcPr>
            <w:tcW w:w="891" w:type="dxa"/>
            <w:shd w:val="clear" w:color="auto" w:fill="auto"/>
            <w:noWrap/>
            <w:vAlign w:val="center"/>
            <w:hideMark/>
          </w:tcPr>
          <w:p w14:paraId="54C74CDF" w14:textId="708D705B" w:rsidR="00916856" w:rsidRPr="00312485" w:rsidRDefault="00916856" w:rsidP="00511CFB">
            <w:pPr>
              <w:ind w:right="-63" w:firstLine="0"/>
              <w:rPr>
                <w:b/>
                <w:bCs/>
                <w:color w:val="000000"/>
                <w:sz w:val="18"/>
                <w:szCs w:val="18"/>
                <w:lang w:val="ro-MD" w:eastAsia="en-GB"/>
              </w:rPr>
            </w:pPr>
            <w:r w:rsidRPr="00312485">
              <w:rPr>
                <w:b/>
                <w:bCs/>
                <w:color w:val="000000"/>
                <w:sz w:val="18"/>
                <w:szCs w:val="18"/>
                <w:lang w:val="ro-MD" w:eastAsia="en-GB"/>
              </w:rPr>
              <w:t>104</w:t>
            </w:r>
            <w:r w:rsidR="00511CFB" w:rsidRPr="00312485">
              <w:rPr>
                <w:b/>
                <w:bCs/>
                <w:color w:val="000000"/>
                <w:sz w:val="18"/>
                <w:szCs w:val="18"/>
                <w:lang w:val="ro-MD" w:eastAsia="en-GB"/>
              </w:rPr>
              <w:t xml:space="preserve"> </w:t>
            </w:r>
            <w:r w:rsidRPr="00312485">
              <w:rPr>
                <w:b/>
                <w:bCs/>
                <w:color w:val="000000"/>
                <w:sz w:val="18"/>
                <w:szCs w:val="18"/>
                <w:lang w:val="ro-MD" w:eastAsia="en-GB"/>
              </w:rPr>
              <w:t>003.1</w:t>
            </w:r>
          </w:p>
        </w:tc>
        <w:tc>
          <w:tcPr>
            <w:tcW w:w="891" w:type="dxa"/>
            <w:shd w:val="clear" w:color="auto" w:fill="auto"/>
            <w:noWrap/>
            <w:vAlign w:val="center"/>
            <w:hideMark/>
          </w:tcPr>
          <w:p w14:paraId="7CDCF0E2" w14:textId="152E1770" w:rsidR="00916856" w:rsidRPr="00312485" w:rsidRDefault="00916856" w:rsidP="00511CFB">
            <w:pPr>
              <w:ind w:right="-166" w:firstLine="0"/>
              <w:rPr>
                <w:b/>
                <w:bCs/>
                <w:color w:val="000000"/>
                <w:sz w:val="18"/>
                <w:szCs w:val="18"/>
                <w:lang w:val="ro-MD" w:eastAsia="en-GB"/>
              </w:rPr>
            </w:pPr>
            <w:r w:rsidRPr="00312485">
              <w:rPr>
                <w:b/>
                <w:bCs/>
                <w:color w:val="000000"/>
                <w:sz w:val="18"/>
                <w:szCs w:val="18"/>
                <w:lang w:val="ro-MD" w:eastAsia="en-GB"/>
              </w:rPr>
              <w:t>121</w:t>
            </w:r>
            <w:r w:rsidR="00511CFB" w:rsidRPr="00312485">
              <w:rPr>
                <w:b/>
                <w:bCs/>
                <w:color w:val="000000"/>
                <w:sz w:val="18"/>
                <w:szCs w:val="18"/>
                <w:lang w:val="ro-MD" w:eastAsia="en-GB"/>
              </w:rPr>
              <w:t xml:space="preserve"> </w:t>
            </w:r>
            <w:r w:rsidRPr="00312485">
              <w:rPr>
                <w:b/>
                <w:bCs/>
                <w:color w:val="000000"/>
                <w:sz w:val="18"/>
                <w:szCs w:val="18"/>
                <w:lang w:val="ro-MD" w:eastAsia="en-GB"/>
              </w:rPr>
              <w:t>394.0</w:t>
            </w:r>
          </w:p>
        </w:tc>
        <w:tc>
          <w:tcPr>
            <w:tcW w:w="891" w:type="dxa"/>
            <w:shd w:val="clear" w:color="auto" w:fill="auto"/>
            <w:noWrap/>
            <w:vAlign w:val="center"/>
            <w:hideMark/>
          </w:tcPr>
          <w:p w14:paraId="43120131" w14:textId="1BE1B5DD" w:rsidR="00916856" w:rsidRPr="00312485" w:rsidRDefault="00916856" w:rsidP="00511CFB">
            <w:pPr>
              <w:ind w:right="-128" w:firstLine="0"/>
              <w:rPr>
                <w:b/>
                <w:bCs/>
                <w:color w:val="000000"/>
                <w:sz w:val="18"/>
                <w:szCs w:val="18"/>
                <w:lang w:val="ro-MD" w:eastAsia="en-GB"/>
              </w:rPr>
            </w:pPr>
            <w:r w:rsidRPr="00312485">
              <w:rPr>
                <w:b/>
                <w:bCs/>
                <w:color w:val="000000"/>
                <w:sz w:val="18"/>
                <w:szCs w:val="18"/>
                <w:lang w:val="ro-MD" w:eastAsia="en-GB"/>
              </w:rPr>
              <w:t>135</w:t>
            </w:r>
            <w:r w:rsidR="00511CFB" w:rsidRPr="00312485">
              <w:rPr>
                <w:b/>
                <w:bCs/>
                <w:color w:val="000000"/>
                <w:sz w:val="18"/>
                <w:szCs w:val="18"/>
                <w:lang w:val="ro-MD" w:eastAsia="en-GB"/>
              </w:rPr>
              <w:t xml:space="preserve"> </w:t>
            </w:r>
            <w:r w:rsidRPr="00312485">
              <w:rPr>
                <w:b/>
                <w:bCs/>
                <w:color w:val="000000"/>
                <w:sz w:val="18"/>
                <w:szCs w:val="18"/>
                <w:lang w:val="ro-MD" w:eastAsia="en-GB"/>
              </w:rPr>
              <w:t>274.6</w:t>
            </w:r>
          </w:p>
        </w:tc>
        <w:tc>
          <w:tcPr>
            <w:tcW w:w="966" w:type="dxa"/>
            <w:shd w:val="clear" w:color="auto" w:fill="auto"/>
            <w:noWrap/>
            <w:vAlign w:val="center"/>
            <w:hideMark/>
          </w:tcPr>
          <w:p w14:paraId="24C48EA4" w14:textId="556E8500" w:rsidR="00916856" w:rsidRPr="00312485" w:rsidRDefault="00916856" w:rsidP="00507FE7">
            <w:pPr>
              <w:ind w:firstLine="0"/>
              <w:jc w:val="right"/>
              <w:rPr>
                <w:b/>
                <w:bCs/>
                <w:color w:val="000000"/>
                <w:sz w:val="18"/>
                <w:szCs w:val="18"/>
                <w:lang w:val="ro-MD" w:eastAsia="en-GB"/>
              </w:rPr>
            </w:pPr>
            <w:r w:rsidRPr="00312485">
              <w:rPr>
                <w:b/>
                <w:bCs/>
                <w:color w:val="000000"/>
                <w:sz w:val="18"/>
                <w:szCs w:val="18"/>
                <w:lang w:val="ro-MD" w:eastAsia="en-GB"/>
              </w:rPr>
              <w:t>140</w:t>
            </w:r>
            <w:r w:rsidR="00511CFB" w:rsidRPr="00312485">
              <w:rPr>
                <w:b/>
                <w:bCs/>
                <w:color w:val="000000"/>
                <w:sz w:val="18"/>
                <w:szCs w:val="18"/>
                <w:lang w:val="ro-MD" w:eastAsia="en-GB"/>
              </w:rPr>
              <w:t xml:space="preserve"> </w:t>
            </w:r>
            <w:r w:rsidRPr="00312485">
              <w:rPr>
                <w:b/>
                <w:bCs/>
                <w:color w:val="000000"/>
                <w:sz w:val="18"/>
                <w:szCs w:val="18"/>
                <w:lang w:val="ro-MD" w:eastAsia="en-GB"/>
              </w:rPr>
              <w:t>162.3</w:t>
            </w:r>
          </w:p>
        </w:tc>
        <w:tc>
          <w:tcPr>
            <w:tcW w:w="1006" w:type="dxa"/>
            <w:shd w:val="clear" w:color="auto" w:fill="auto"/>
            <w:noWrap/>
            <w:vAlign w:val="center"/>
            <w:hideMark/>
          </w:tcPr>
          <w:p w14:paraId="23A0FB41" w14:textId="7C05D2E5" w:rsidR="00916856" w:rsidRPr="00312485" w:rsidRDefault="00916856" w:rsidP="00507FE7">
            <w:pPr>
              <w:ind w:firstLine="0"/>
              <w:jc w:val="right"/>
              <w:rPr>
                <w:b/>
                <w:bCs/>
                <w:color w:val="000000"/>
                <w:sz w:val="18"/>
                <w:szCs w:val="18"/>
                <w:lang w:val="ro-MD" w:eastAsia="en-GB"/>
              </w:rPr>
            </w:pPr>
            <w:r w:rsidRPr="00312485">
              <w:rPr>
                <w:b/>
                <w:bCs/>
                <w:color w:val="000000"/>
                <w:sz w:val="18"/>
                <w:szCs w:val="18"/>
                <w:lang w:val="ro-MD" w:eastAsia="en-GB"/>
              </w:rPr>
              <w:t>160</w:t>
            </w:r>
            <w:r w:rsidR="00511CFB" w:rsidRPr="00312485">
              <w:rPr>
                <w:b/>
                <w:bCs/>
                <w:color w:val="000000"/>
                <w:sz w:val="18"/>
                <w:szCs w:val="18"/>
                <w:lang w:val="ro-MD" w:eastAsia="en-GB"/>
              </w:rPr>
              <w:t xml:space="preserve"> </w:t>
            </w:r>
            <w:r w:rsidRPr="00312485">
              <w:rPr>
                <w:b/>
                <w:bCs/>
                <w:color w:val="000000"/>
                <w:sz w:val="18"/>
                <w:szCs w:val="18"/>
                <w:lang w:val="ro-MD" w:eastAsia="en-GB"/>
              </w:rPr>
              <w:t>974.0</w:t>
            </w:r>
          </w:p>
        </w:tc>
        <w:tc>
          <w:tcPr>
            <w:tcW w:w="1006" w:type="dxa"/>
            <w:shd w:val="clear" w:color="auto" w:fill="auto"/>
            <w:noWrap/>
            <w:vAlign w:val="center"/>
            <w:hideMark/>
          </w:tcPr>
          <w:p w14:paraId="71D39FA3" w14:textId="2D9AA1F5" w:rsidR="00916856" w:rsidRPr="00312485" w:rsidRDefault="00916856" w:rsidP="00507FE7">
            <w:pPr>
              <w:ind w:firstLine="0"/>
              <w:jc w:val="right"/>
              <w:rPr>
                <w:b/>
                <w:bCs/>
                <w:color w:val="000000"/>
                <w:sz w:val="18"/>
                <w:szCs w:val="18"/>
                <w:lang w:val="ro-MD" w:eastAsia="en-GB"/>
              </w:rPr>
            </w:pPr>
            <w:r w:rsidRPr="00312485">
              <w:rPr>
                <w:b/>
                <w:bCs/>
                <w:color w:val="000000"/>
                <w:sz w:val="18"/>
                <w:szCs w:val="18"/>
                <w:lang w:val="ro-MD" w:eastAsia="en-GB"/>
              </w:rPr>
              <w:t>185</w:t>
            </w:r>
            <w:r w:rsidR="00511CFB" w:rsidRPr="00312485">
              <w:rPr>
                <w:b/>
                <w:bCs/>
                <w:color w:val="000000"/>
                <w:sz w:val="18"/>
                <w:szCs w:val="18"/>
                <w:lang w:val="ro-MD" w:eastAsia="en-GB"/>
              </w:rPr>
              <w:t xml:space="preserve"> </w:t>
            </w:r>
            <w:r w:rsidRPr="00312485">
              <w:rPr>
                <w:b/>
                <w:bCs/>
                <w:color w:val="000000"/>
                <w:sz w:val="18"/>
                <w:szCs w:val="18"/>
                <w:lang w:val="ro-MD" w:eastAsia="en-GB"/>
              </w:rPr>
              <w:t>139.9</w:t>
            </w:r>
          </w:p>
        </w:tc>
        <w:tc>
          <w:tcPr>
            <w:tcW w:w="1006" w:type="dxa"/>
            <w:shd w:val="clear" w:color="auto" w:fill="auto"/>
            <w:noWrap/>
            <w:vAlign w:val="center"/>
            <w:hideMark/>
          </w:tcPr>
          <w:p w14:paraId="5EA024CD" w14:textId="7E08F7A3" w:rsidR="00916856" w:rsidRPr="00312485" w:rsidRDefault="00916856" w:rsidP="00507FE7">
            <w:pPr>
              <w:ind w:firstLine="0"/>
              <w:jc w:val="right"/>
              <w:rPr>
                <w:b/>
                <w:bCs/>
                <w:color w:val="000000"/>
                <w:sz w:val="18"/>
                <w:szCs w:val="18"/>
                <w:lang w:val="ro-MD" w:eastAsia="en-GB"/>
              </w:rPr>
            </w:pPr>
            <w:r w:rsidRPr="00312485">
              <w:rPr>
                <w:b/>
                <w:bCs/>
                <w:color w:val="000000"/>
                <w:sz w:val="18"/>
                <w:szCs w:val="18"/>
                <w:lang w:val="ro-MD" w:eastAsia="en-GB"/>
              </w:rPr>
              <w:t>206</w:t>
            </w:r>
            <w:r w:rsidR="00511CFB" w:rsidRPr="00312485">
              <w:rPr>
                <w:b/>
                <w:bCs/>
                <w:color w:val="000000"/>
                <w:sz w:val="18"/>
                <w:szCs w:val="18"/>
                <w:lang w:val="ro-MD" w:eastAsia="en-GB"/>
              </w:rPr>
              <w:t xml:space="preserve"> </w:t>
            </w:r>
            <w:r w:rsidRPr="00312485">
              <w:rPr>
                <w:b/>
                <w:bCs/>
                <w:color w:val="000000"/>
                <w:sz w:val="18"/>
                <w:szCs w:val="18"/>
                <w:lang w:val="ro-MD" w:eastAsia="en-GB"/>
              </w:rPr>
              <w:t>072.5</w:t>
            </w:r>
          </w:p>
        </w:tc>
      </w:tr>
      <w:tr w:rsidR="007D5C96" w:rsidRPr="00312485" w14:paraId="00EEEAC9" w14:textId="77777777" w:rsidTr="00F95340">
        <w:trPr>
          <w:trHeight w:val="300"/>
        </w:trPr>
        <w:tc>
          <w:tcPr>
            <w:tcW w:w="2694" w:type="dxa"/>
            <w:shd w:val="clear" w:color="auto" w:fill="auto"/>
            <w:noWrap/>
            <w:vAlign w:val="center"/>
            <w:hideMark/>
          </w:tcPr>
          <w:p w14:paraId="1C147CDD" w14:textId="77777777" w:rsidR="007D5C96" w:rsidRPr="00312485" w:rsidRDefault="007D5C96" w:rsidP="007D5C96">
            <w:pPr>
              <w:ind w:firstLine="0"/>
              <w:jc w:val="right"/>
              <w:rPr>
                <w:color w:val="000000"/>
                <w:sz w:val="18"/>
                <w:szCs w:val="18"/>
                <w:lang w:val="ro-MD" w:eastAsia="en-GB"/>
              </w:rPr>
            </w:pPr>
            <w:r w:rsidRPr="00312485">
              <w:rPr>
                <w:color w:val="000000"/>
                <w:sz w:val="18"/>
                <w:szCs w:val="18"/>
                <w:lang w:val="ro-MD" w:eastAsia="en-GB"/>
              </w:rPr>
              <w:t>Datoria externă</w:t>
            </w:r>
          </w:p>
        </w:tc>
        <w:tc>
          <w:tcPr>
            <w:tcW w:w="891" w:type="dxa"/>
            <w:shd w:val="clear" w:color="auto" w:fill="auto"/>
            <w:noWrap/>
            <w:vAlign w:val="center"/>
            <w:hideMark/>
          </w:tcPr>
          <w:p w14:paraId="5906D990" w14:textId="129560CE"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64 337.0</w:t>
            </w:r>
          </w:p>
        </w:tc>
        <w:tc>
          <w:tcPr>
            <w:tcW w:w="891" w:type="dxa"/>
            <w:shd w:val="clear" w:color="auto" w:fill="auto"/>
            <w:noWrap/>
            <w:vAlign w:val="center"/>
            <w:hideMark/>
          </w:tcPr>
          <w:p w14:paraId="76D55AC0" w14:textId="304751DB"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77 432.8</w:t>
            </w:r>
          </w:p>
        </w:tc>
        <w:tc>
          <w:tcPr>
            <w:tcW w:w="891" w:type="dxa"/>
            <w:shd w:val="clear" w:color="auto" w:fill="auto"/>
            <w:noWrap/>
            <w:vAlign w:val="center"/>
            <w:hideMark/>
          </w:tcPr>
          <w:p w14:paraId="72077819" w14:textId="6A47F136"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82 152.8</w:t>
            </w:r>
          </w:p>
        </w:tc>
        <w:tc>
          <w:tcPr>
            <w:tcW w:w="966" w:type="dxa"/>
            <w:shd w:val="clear" w:color="auto" w:fill="auto"/>
            <w:noWrap/>
            <w:vAlign w:val="center"/>
            <w:hideMark/>
          </w:tcPr>
          <w:p w14:paraId="23975D21" w14:textId="732F91FE"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87 058.1</w:t>
            </w:r>
          </w:p>
        </w:tc>
        <w:tc>
          <w:tcPr>
            <w:tcW w:w="1006" w:type="dxa"/>
            <w:shd w:val="clear" w:color="auto" w:fill="auto"/>
            <w:vAlign w:val="center"/>
            <w:hideMark/>
          </w:tcPr>
          <w:p w14:paraId="00DC932F" w14:textId="7F2262E0"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99 857.2</w:t>
            </w:r>
          </w:p>
        </w:tc>
        <w:tc>
          <w:tcPr>
            <w:tcW w:w="1006" w:type="dxa"/>
            <w:shd w:val="clear" w:color="auto" w:fill="auto"/>
            <w:vAlign w:val="center"/>
            <w:hideMark/>
          </w:tcPr>
          <w:p w14:paraId="29071D89" w14:textId="203C8178"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114 673.6</w:t>
            </w:r>
          </w:p>
        </w:tc>
        <w:tc>
          <w:tcPr>
            <w:tcW w:w="1006" w:type="dxa"/>
            <w:shd w:val="clear" w:color="auto" w:fill="auto"/>
            <w:vAlign w:val="center"/>
            <w:hideMark/>
          </w:tcPr>
          <w:p w14:paraId="1104D1BD" w14:textId="4B12BF92"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127 240.0</w:t>
            </w:r>
          </w:p>
        </w:tc>
      </w:tr>
      <w:tr w:rsidR="007D5C96" w:rsidRPr="00312485" w14:paraId="271E9262" w14:textId="77777777" w:rsidTr="00F95340">
        <w:trPr>
          <w:trHeight w:val="315"/>
        </w:trPr>
        <w:tc>
          <w:tcPr>
            <w:tcW w:w="2694" w:type="dxa"/>
            <w:vAlign w:val="center"/>
            <w:hideMark/>
          </w:tcPr>
          <w:p w14:paraId="0ABA44A4" w14:textId="77777777" w:rsidR="007D5C96" w:rsidRPr="00312485" w:rsidRDefault="007D5C96" w:rsidP="007D5C96">
            <w:pPr>
              <w:ind w:firstLine="0"/>
              <w:jc w:val="right"/>
              <w:rPr>
                <w:color w:val="000000"/>
                <w:sz w:val="18"/>
                <w:szCs w:val="18"/>
                <w:lang w:val="ro-MD" w:eastAsia="en-GB"/>
              </w:rPr>
            </w:pPr>
            <w:r w:rsidRPr="00312485">
              <w:rPr>
                <w:color w:val="000000"/>
                <w:sz w:val="18"/>
                <w:szCs w:val="18"/>
                <w:lang w:val="ro-MD" w:eastAsia="en-GB"/>
              </w:rPr>
              <w:t>Datoria internă</w:t>
            </w:r>
          </w:p>
        </w:tc>
        <w:tc>
          <w:tcPr>
            <w:tcW w:w="891" w:type="dxa"/>
            <w:shd w:val="clear" w:color="auto" w:fill="auto"/>
            <w:noWrap/>
            <w:vAlign w:val="center"/>
            <w:hideMark/>
          </w:tcPr>
          <w:p w14:paraId="26E80F70" w14:textId="172D00EC"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39 666.1</w:t>
            </w:r>
          </w:p>
        </w:tc>
        <w:tc>
          <w:tcPr>
            <w:tcW w:w="891" w:type="dxa"/>
            <w:shd w:val="clear" w:color="auto" w:fill="auto"/>
            <w:noWrap/>
            <w:vAlign w:val="center"/>
            <w:hideMark/>
          </w:tcPr>
          <w:p w14:paraId="2FA4F695" w14:textId="36AD8DBC"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43 961.2</w:t>
            </w:r>
          </w:p>
        </w:tc>
        <w:tc>
          <w:tcPr>
            <w:tcW w:w="891" w:type="dxa"/>
            <w:shd w:val="clear" w:color="auto" w:fill="auto"/>
            <w:noWrap/>
            <w:vAlign w:val="center"/>
            <w:hideMark/>
          </w:tcPr>
          <w:p w14:paraId="66948320" w14:textId="0693D494"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53 121.8</w:t>
            </w:r>
          </w:p>
        </w:tc>
        <w:tc>
          <w:tcPr>
            <w:tcW w:w="966" w:type="dxa"/>
            <w:shd w:val="clear" w:color="auto" w:fill="auto"/>
            <w:noWrap/>
            <w:vAlign w:val="center"/>
            <w:hideMark/>
          </w:tcPr>
          <w:p w14:paraId="6A774A06" w14:textId="59BFA47C"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53 104.2</w:t>
            </w:r>
          </w:p>
        </w:tc>
        <w:tc>
          <w:tcPr>
            <w:tcW w:w="1006" w:type="dxa"/>
            <w:shd w:val="clear" w:color="auto" w:fill="auto"/>
            <w:vAlign w:val="center"/>
            <w:hideMark/>
          </w:tcPr>
          <w:p w14:paraId="7D5FBB7E" w14:textId="248AA2F8"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61 116.8</w:t>
            </w:r>
          </w:p>
        </w:tc>
        <w:tc>
          <w:tcPr>
            <w:tcW w:w="1006" w:type="dxa"/>
            <w:shd w:val="clear" w:color="auto" w:fill="auto"/>
            <w:noWrap/>
            <w:vAlign w:val="center"/>
            <w:hideMark/>
          </w:tcPr>
          <w:p w14:paraId="5CA8BF84" w14:textId="225BA9B8"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70 466.3</w:t>
            </w:r>
          </w:p>
        </w:tc>
        <w:tc>
          <w:tcPr>
            <w:tcW w:w="1006" w:type="dxa"/>
            <w:shd w:val="clear" w:color="auto" w:fill="auto"/>
            <w:vAlign w:val="center"/>
            <w:hideMark/>
          </w:tcPr>
          <w:p w14:paraId="50C816C6" w14:textId="08CAE2C9" w:rsidR="007D5C96" w:rsidRPr="00312485" w:rsidRDefault="007D5C96" w:rsidP="00507FE7">
            <w:pPr>
              <w:ind w:firstLine="0"/>
              <w:jc w:val="right"/>
              <w:rPr>
                <w:color w:val="000000"/>
                <w:sz w:val="18"/>
                <w:szCs w:val="18"/>
                <w:lang w:val="ro-MD" w:eastAsia="en-GB"/>
              </w:rPr>
            </w:pPr>
            <w:r w:rsidRPr="00312485">
              <w:rPr>
                <w:color w:val="000000"/>
                <w:sz w:val="18"/>
                <w:szCs w:val="18"/>
                <w:lang w:val="ro-MD" w:eastAsia="en-GB"/>
              </w:rPr>
              <w:t>78 832.5</w:t>
            </w:r>
          </w:p>
        </w:tc>
      </w:tr>
    </w:tbl>
    <w:p w14:paraId="5AE27505" w14:textId="77777777" w:rsidR="00916856" w:rsidRPr="00312485" w:rsidRDefault="00916856" w:rsidP="00916856">
      <w:pPr>
        <w:jc w:val="left"/>
        <w:rPr>
          <w:i/>
          <w:color w:val="000000"/>
          <w:sz w:val="16"/>
          <w:szCs w:val="16"/>
          <w:lang w:val="ro-MD" w:eastAsia="ro-RO"/>
        </w:rPr>
      </w:pPr>
      <w:r w:rsidRPr="00312485">
        <w:rPr>
          <w:i/>
          <w:color w:val="000000"/>
          <w:sz w:val="16"/>
          <w:szCs w:val="16"/>
          <w:lang w:val="ro-MD" w:eastAsia="ro-RO"/>
        </w:rPr>
        <w:t>Sursa:  Ministerul Finanțelor</w:t>
      </w:r>
    </w:p>
    <w:p w14:paraId="3CB01C3B" w14:textId="77777777" w:rsidR="00916856" w:rsidRPr="00312485" w:rsidRDefault="00916856" w:rsidP="00916856">
      <w:pPr>
        <w:pStyle w:val="Table"/>
        <w:spacing w:before="0" w:line="240" w:lineRule="auto"/>
        <w:ind w:firstLine="720"/>
        <w:rPr>
          <w:rFonts w:ascii="Times New Roman" w:hAnsi="Times New Roman"/>
          <w:sz w:val="16"/>
          <w:szCs w:val="16"/>
          <w:lang w:val="ro-MD"/>
        </w:rPr>
      </w:pPr>
    </w:p>
    <w:p w14:paraId="36E6327C" w14:textId="20A5C4FF" w:rsidR="00916856" w:rsidRPr="00312485" w:rsidRDefault="00916856" w:rsidP="00916856">
      <w:pPr>
        <w:pStyle w:val="Numberedtex"/>
        <w:numPr>
          <w:ilvl w:val="0"/>
          <w:numId w:val="0"/>
        </w:numPr>
        <w:spacing w:before="0" w:after="0" w:line="240" w:lineRule="auto"/>
        <w:ind w:firstLine="720"/>
        <w:rPr>
          <w:rFonts w:ascii="Times New Roman" w:hAnsi="Times New Roman"/>
          <w:b/>
          <w:sz w:val="24"/>
          <w:szCs w:val="24"/>
          <w:lang w:val="ro-MD"/>
        </w:rPr>
      </w:pPr>
      <w:r w:rsidRPr="00312485">
        <w:rPr>
          <w:rFonts w:ascii="Times New Roman" w:hAnsi="Times New Roman"/>
          <w:sz w:val="24"/>
          <w:szCs w:val="24"/>
          <w:lang w:val="ro-MD"/>
        </w:rPr>
        <w:t xml:space="preserve">Din calculele prezentate se evidențiază că datoria de stat este prognozată la un nivel sustenabil pentru economia națională. În vederea monitorizării sustenabilității datoriei </w:t>
      </w:r>
      <w:proofErr w:type="spellStart"/>
      <w:r w:rsidRPr="00312485">
        <w:rPr>
          <w:rFonts w:ascii="Times New Roman" w:hAnsi="Times New Roman"/>
          <w:sz w:val="24"/>
          <w:szCs w:val="24"/>
          <w:lang w:val="ro-MD"/>
        </w:rPr>
        <w:t>şi</w:t>
      </w:r>
      <w:proofErr w:type="spellEnd"/>
      <w:r w:rsidRPr="00312485">
        <w:rPr>
          <w:rFonts w:ascii="Times New Roman" w:hAnsi="Times New Roman"/>
          <w:sz w:val="24"/>
          <w:szCs w:val="24"/>
          <w:lang w:val="ro-MD"/>
        </w:rPr>
        <w:t xml:space="preserve"> a reduce riscurile asociate, Ministerul Finanțelor elaborează anual Programul „Managementul datoriei de stat pe termen mediu”. Acest program definește strategia de finanțare a soldului (deficitului) bugetului de stat și identifică factorii de cost și risc aferenți posibilelor schimbări ale condițiilor de piață și necesităților de finanțare. Printre măsurile incluse se numără menținerea sub control a riscului de refinanțare prin extinderea scadențelor VMS, reducerea riscului valutar prin creșterea ponderii datoriei interne în totalul datoriei de stat și creșterea ponderii datoriei de stat cu dobândă fixă.</w:t>
      </w:r>
    </w:p>
    <w:p w14:paraId="382B9524" w14:textId="77777777" w:rsidR="00916856" w:rsidRPr="00312485" w:rsidRDefault="00916856" w:rsidP="00916856">
      <w:pPr>
        <w:rPr>
          <w:sz w:val="24"/>
          <w:szCs w:val="24"/>
          <w:lang w:val="ro-MD"/>
        </w:rPr>
      </w:pPr>
      <w:r w:rsidRPr="00312485">
        <w:rPr>
          <w:sz w:val="24"/>
          <w:szCs w:val="24"/>
          <w:lang w:val="ro-MD"/>
        </w:rPr>
        <w:t xml:space="preserve">Se estimează că serviciul aferent datoriei de stat va crește în comparație cu anul 2024 și 2025 conform datelor aprobate până la 1,6% din PIB pe parcursul anilor 2026-2028. În totalul veniturilor bugetului de stat cu excepția granturilor, serviciul datoriei de stat va atinge către anul 2028 – 7,8%. Totodată, în această perioadă, pentru </w:t>
      </w:r>
      <w:r w:rsidRPr="00312485">
        <w:rPr>
          <w:i/>
          <w:sz w:val="24"/>
          <w:szCs w:val="24"/>
          <w:lang w:val="ro-MD"/>
        </w:rPr>
        <w:t>serviciul datoriei de stat externe</w:t>
      </w:r>
      <w:r w:rsidRPr="00312485">
        <w:rPr>
          <w:sz w:val="24"/>
          <w:szCs w:val="24"/>
          <w:lang w:val="ro-MD"/>
        </w:rPr>
        <w:t xml:space="preserve"> se estimează a se utiliza mijloace în sumă de 7 667,0 mil. lei, iar pentru </w:t>
      </w:r>
      <w:r w:rsidRPr="00312485">
        <w:rPr>
          <w:i/>
          <w:sz w:val="24"/>
          <w:szCs w:val="24"/>
          <w:lang w:val="ro-MD"/>
        </w:rPr>
        <w:t>serviciul datoriei de stat interne</w:t>
      </w:r>
      <w:r w:rsidRPr="00312485">
        <w:rPr>
          <w:sz w:val="24"/>
          <w:szCs w:val="24"/>
          <w:lang w:val="ro-MD"/>
        </w:rPr>
        <w:t xml:space="preserve"> – 12 298,6 mil. lei. </w:t>
      </w:r>
    </w:p>
    <w:p w14:paraId="7B05549A" w14:textId="77777777" w:rsidR="00916856" w:rsidRPr="00312485" w:rsidRDefault="00916856" w:rsidP="00916856">
      <w:pPr>
        <w:rPr>
          <w:sz w:val="24"/>
          <w:szCs w:val="24"/>
          <w:lang w:val="ro-MD"/>
        </w:rPr>
      </w:pPr>
      <w:r w:rsidRPr="00312485">
        <w:rPr>
          <w:sz w:val="24"/>
          <w:szCs w:val="24"/>
          <w:lang w:val="ro-MD"/>
        </w:rPr>
        <w:t xml:space="preserve">În perioada 2026-2028, cheltuielile pentru serviciul datoriei de stat interne se prognozează a fi majorate în comparație cu anul 2025, ca urmare a finanțării interne nete pozitive în această perioadă. La estimarea serviciului datoriei de stat interne a fost luat în calcul intervalul ratei medii ponderate a dobânzii de 7,5% în anul 2026  și 6,5% în anul 2028. </w:t>
      </w:r>
    </w:p>
    <w:p w14:paraId="168B7F93" w14:textId="19EF75FE" w:rsidR="00916856" w:rsidRPr="00312485" w:rsidRDefault="00916856" w:rsidP="00916856">
      <w:pPr>
        <w:rPr>
          <w:sz w:val="28"/>
          <w:szCs w:val="28"/>
          <w:lang w:val="ro-MD"/>
        </w:rPr>
      </w:pPr>
      <w:r w:rsidRPr="00312485">
        <w:rPr>
          <w:sz w:val="24"/>
          <w:szCs w:val="24"/>
          <w:lang w:val="ro-MD"/>
        </w:rPr>
        <w:t>Cheltuielile pentru serviciul datoriei de stat externe vor înregistra, în perioada 2026-2028, o evoluție ascendentă</w:t>
      </w:r>
      <w:r w:rsidR="00161734">
        <w:rPr>
          <w:sz w:val="24"/>
          <w:szCs w:val="24"/>
          <w:lang w:val="ro-MD"/>
        </w:rPr>
        <w:t>, determinată în principal</w:t>
      </w:r>
      <w:r w:rsidR="00A92243">
        <w:rPr>
          <w:sz w:val="24"/>
          <w:szCs w:val="24"/>
          <w:lang w:val="ro-MD"/>
        </w:rPr>
        <w:t xml:space="preserve"> de </w:t>
      </w:r>
      <w:r w:rsidR="00254A86" w:rsidRPr="00A92243">
        <w:rPr>
          <w:sz w:val="24"/>
          <w:szCs w:val="24"/>
          <w:lang w:val="ro-MD"/>
        </w:rPr>
        <w:t xml:space="preserve">majorarea soldului datoriei de stat externe, ca urmare a includerii în estimări a unui volum mai mare de împrumuturi de stat externe.  </w:t>
      </w:r>
      <w:r w:rsidRPr="00A92243">
        <w:rPr>
          <w:sz w:val="24"/>
          <w:szCs w:val="24"/>
          <w:lang w:val="ro-MD"/>
        </w:rPr>
        <w:t xml:space="preserve"> </w:t>
      </w:r>
      <w:r w:rsidR="00161734" w:rsidRPr="00A92243">
        <w:rPr>
          <w:sz w:val="24"/>
          <w:szCs w:val="24"/>
          <w:lang w:val="ro-MD"/>
        </w:rPr>
        <w:t>Aceste</w:t>
      </w:r>
      <w:r w:rsidRPr="00A92243">
        <w:rPr>
          <w:sz w:val="24"/>
          <w:szCs w:val="24"/>
          <w:lang w:val="ro-MD"/>
        </w:rPr>
        <w:t xml:space="preserve"> </w:t>
      </w:r>
      <w:r w:rsidR="00161734" w:rsidRPr="00A92243">
        <w:rPr>
          <w:sz w:val="24"/>
          <w:szCs w:val="24"/>
          <w:lang w:val="ro-MD"/>
        </w:rPr>
        <w:t xml:space="preserve">împrumuturi </w:t>
      </w:r>
      <w:r w:rsidRPr="00A92243">
        <w:rPr>
          <w:sz w:val="24"/>
          <w:szCs w:val="24"/>
          <w:lang w:val="ro-MD"/>
        </w:rPr>
        <w:t>sunt des</w:t>
      </w:r>
      <w:r w:rsidR="00DD6B55" w:rsidRPr="00A92243">
        <w:rPr>
          <w:sz w:val="24"/>
          <w:szCs w:val="24"/>
          <w:lang w:val="ro-MD"/>
        </w:rPr>
        <w:t>tinate atât suportului bugetar</w:t>
      </w:r>
      <w:r w:rsidRPr="00312485">
        <w:rPr>
          <w:sz w:val="24"/>
          <w:szCs w:val="24"/>
          <w:lang w:val="ro-MD"/>
        </w:rPr>
        <w:t>, cât și finanțării proiectelor investiționale din surse externe</w:t>
      </w:r>
      <w:r w:rsidRPr="00312485">
        <w:rPr>
          <w:rFonts w:eastAsiaTheme="minorHAnsi"/>
          <w:sz w:val="24"/>
          <w:szCs w:val="24"/>
          <w:lang w:val="ro-MD"/>
        </w:rPr>
        <w:t>, contribuind direct la majorarea serviciului datoriei de stat externe.</w:t>
      </w:r>
      <w:r w:rsidRPr="00312485">
        <w:rPr>
          <w:sz w:val="24"/>
          <w:szCs w:val="24"/>
          <w:lang w:val="ro-MD"/>
        </w:rPr>
        <w:t xml:space="preserve"> Totodată se menționează că</w:t>
      </w:r>
      <w:r w:rsidR="004C2335" w:rsidRPr="00312485">
        <w:rPr>
          <w:sz w:val="24"/>
          <w:szCs w:val="24"/>
          <w:lang w:val="ro-MD"/>
        </w:rPr>
        <w:t>,</w:t>
      </w:r>
      <w:r w:rsidRPr="00312485">
        <w:rPr>
          <w:sz w:val="24"/>
          <w:szCs w:val="24"/>
          <w:lang w:val="ro-MD"/>
        </w:rPr>
        <w:t xml:space="preserve"> rata medie ponderată a dobânzii pentru împrumuturile de stat externe s-a diminuat de la 2,5% la 31 decembrie 2023 la 2,33% la situația din 31 decembrie 2024.</w:t>
      </w:r>
    </w:p>
    <w:p w14:paraId="00A9E5F9" w14:textId="7A8BA40C" w:rsidR="00916856" w:rsidRPr="00312485" w:rsidRDefault="00916856" w:rsidP="00916856">
      <w:pPr>
        <w:pStyle w:val="Table"/>
        <w:spacing w:before="0" w:line="240" w:lineRule="auto"/>
        <w:ind w:firstLine="720"/>
        <w:jc w:val="right"/>
        <w:rPr>
          <w:rFonts w:ascii="Times New Roman" w:hAnsi="Times New Roman"/>
          <w:color w:val="auto"/>
          <w:sz w:val="22"/>
          <w:szCs w:val="24"/>
          <w:lang w:val="ro-MD"/>
        </w:rPr>
      </w:pPr>
      <w:r w:rsidRPr="00312485">
        <w:rPr>
          <w:rFonts w:ascii="Times New Roman" w:hAnsi="Times New Roman"/>
          <w:color w:val="auto"/>
          <w:sz w:val="22"/>
          <w:szCs w:val="24"/>
          <w:lang w:val="ro-MD"/>
        </w:rPr>
        <w:t>Tabelul 3.</w:t>
      </w:r>
      <w:r w:rsidR="00427917" w:rsidRPr="00312485">
        <w:rPr>
          <w:rFonts w:ascii="Times New Roman" w:hAnsi="Times New Roman"/>
          <w:color w:val="auto"/>
          <w:sz w:val="22"/>
          <w:szCs w:val="24"/>
          <w:lang w:val="ro-MD"/>
        </w:rPr>
        <w:t>6</w:t>
      </w:r>
    </w:p>
    <w:p w14:paraId="39968BBA" w14:textId="77777777" w:rsidR="00916856" w:rsidRPr="00312485" w:rsidRDefault="00916856" w:rsidP="00916856">
      <w:pPr>
        <w:pStyle w:val="Table"/>
        <w:spacing w:before="0" w:line="240" w:lineRule="auto"/>
        <w:ind w:firstLine="720"/>
        <w:rPr>
          <w:rFonts w:ascii="Times New Roman" w:hAnsi="Times New Roman"/>
          <w:color w:val="auto"/>
          <w:sz w:val="24"/>
          <w:szCs w:val="24"/>
          <w:lang w:val="ro-MD"/>
        </w:rPr>
      </w:pPr>
      <w:r w:rsidRPr="00312485">
        <w:rPr>
          <w:rFonts w:ascii="Times New Roman" w:hAnsi="Times New Roman"/>
          <w:color w:val="auto"/>
          <w:sz w:val="28"/>
          <w:szCs w:val="28"/>
          <w:lang w:val="ro-MD"/>
        </w:rPr>
        <w:t xml:space="preserve"> </w:t>
      </w:r>
      <w:r w:rsidRPr="00312485">
        <w:rPr>
          <w:rFonts w:ascii="Times New Roman" w:hAnsi="Times New Roman"/>
          <w:color w:val="auto"/>
          <w:sz w:val="24"/>
          <w:szCs w:val="24"/>
          <w:lang w:val="ro-MD"/>
        </w:rPr>
        <w:t>Serviciul datoriei de stat în anii 2023-2028</w:t>
      </w:r>
    </w:p>
    <w:p w14:paraId="157C125B" w14:textId="4CE355E7" w:rsidR="00916856" w:rsidRPr="00312485" w:rsidRDefault="00916856" w:rsidP="0095416C">
      <w:pPr>
        <w:pStyle w:val="Table"/>
        <w:spacing w:before="0" w:line="240" w:lineRule="auto"/>
        <w:ind w:firstLine="720"/>
        <w:jc w:val="right"/>
        <w:rPr>
          <w:rFonts w:ascii="Times New Roman" w:hAnsi="Times New Roman"/>
          <w:sz w:val="28"/>
          <w:szCs w:val="28"/>
          <w:lang w:val="ro-MD"/>
        </w:rPr>
      </w:pPr>
      <w:r w:rsidRPr="00312485">
        <w:rPr>
          <w:rFonts w:ascii="Times New Roman" w:hAnsi="Times New Roman"/>
          <w:b w:val="0"/>
          <w:szCs w:val="20"/>
          <w:lang w:val="ro-MD"/>
        </w:rPr>
        <w:t>(</w:t>
      </w:r>
      <w:r w:rsidRPr="00312485">
        <w:rPr>
          <w:rFonts w:ascii="Times New Roman" w:hAnsi="Times New Roman"/>
          <w:b w:val="0"/>
          <w:color w:val="000000"/>
          <w:szCs w:val="20"/>
          <w:lang w:val="ro-MD" w:eastAsia="ro-RO"/>
        </w:rPr>
        <w:t>% din PIB)</w:t>
      </w:r>
      <w:bookmarkStart w:id="0" w:name="_Toc485735540"/>
    </w:p>
    <w:tbl>
      <w:tblPr>
        <w:tblW w:w="9531" w:type="dxa"/>
        <w:tblInd w:w="-147" w:type="dxa"/>
        <w:tblLayout w:type="fixed"/>
        <w:tblLook w:val="04A0" w:firstRow="1" w:lastRow="0" w:firstColumn="1" w:lastColumn="0" w:noHBand="0" w:noVBand="1"/>
      </w:tblPr>
      <w:tblGrid>
        <w:gridCol w:w="750"/>
        <w:gridCol w:w="66"/>
        <w:gridCol w:w="1878"/>
        <w:gridCol w:w="743"/>
        <w:gridCol w:w="74"/>
        <w:gridCol w:w="751"/>
        <w:gridCol w:w="66"/>
        <w:gridCol w:w="939"/>
        <w:gridCol w:w="16"/>
        <w:gridCol w:w="1034"/>
        <w:gridCol w:w="10"/>
        <w:gridCol w:w="1085"/>
        <w:gridCol w:w="16"/>
        <w:gridCol w:w="1062"/>
        <w:gridCol w:w="17"/>
        <w:gridCol w:w="985"/>
        <w:gridCol w:w="39"/>
      </w:tblGrid>
      <w:tr w:rsidR="0063676F" w:rsidRPr="00312485" w14:paraId="17B974A0" w14:textId="77777777" w:rsidTr="003E20DF">
        <w:trPr>
          <w:gridAfter w:val="1"/>
          <w:wAfter w:w="39" w:type="dxa"/>
          <w:trHeight w:val="261"/>
          <w:tblHeader/>
        </w:trPr>
        <w:tc>
          <w:tcPr>
            <w:tcW w:w="2694" w:type="dxa"/>
            <w:gridSpan w:val="3"/>
            <w:vMerge w:val="restart"/>
            <w:tcBorders>
              <w:top w:val="single" w:sz="4" w:space="0" w:color="auto"/>
              <w:left w:val="single" w:sz="4" w:space="0" w:color="auto"/>
              <w:right w:val="nil"/>
            </w:tcBorders>
            <w:shd w:val="clear" w:color="000000" w:fill="FFFFFF"/>
            <w:vAlign w:val="center"/>
            <w:hideMark/>
          </w:tcPr>
          <w:p w14:paraId="2F3FBE99" w14:textId="74DE46F4" w:rsidR="0063676F" w:rsidRPr="00312485" w:rsidRDefault="0063676F" w:rsidP="0063676F">
            <w:pPr>
              <w:ind w:firstLine="0"/>
              <w:jc w:val="left"/>
              <w:rPr>
                <w:color w:val="000000"/>
                <w:lang w:val="ro-MD" w:eastAsia="en-GB"/>
              </w:rPr>
            </w:pPr>
            <w:r w:rsidRPr="00312485">
              <w:rPr>
                <w:color w:val="000000"/>
                <w:sz w:val="28"/>
                <w:szCs w:val="28"/>
                <w:lang w:val="ro-MD" w:eastAsia="en-GB"/>
              </w:rPr>
              <w:t> </w:t>
            </w:r>
            <w:r w:rsidRPr="00312485">
              <w:rPr>
                <w:color w:val="000000"/>
                <w:lang w:val="ro-MD" w:eastAsia="en-GB"/>
              </w:rPr>
              <w:t> </w:t>
            </w:r>
          </w:p>
        </w:tc>
        <w:tc>
          <w:tcPr>
            <w:tcW w:w="743" w:type="dxa"/>
            <w:tcBorders>
              <w:top w:val="single" w:sz="4" w:space="0" w:color="auto"/>
              <w:left w:val="nil"/>
              <w:bottom w:val="nil"/>
              <w:right w:val="nil"/>
            </w:tcBorders>
            <w:shd w:val="clear" w:color="000000" w:fill="FFFFFF"/>
            <w:vAlign w:val="center"/>
            <w:hideMark/>
          </w:tcPr>
          <w:p w14:paraId="3B7FCB8C"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2023</w:t>
            </w:r>
          </w:p>
        </w:tc>
        <w:tc>
          <w:tcPr>
            <w:tcW w:w="825" w:type="dxa"/>
            <w:gridSpan w:val="2"/>
            <w:tcBorders>
              <w:top w:val="single" w:sz="4" w:space="0" w:color="auto"/>
              <w:left w:val="nil"/>
              <w:bottom w:val="nil"/>
              <w:right w:val="nil"/>
            </w:tcBorders>
            <w:shd w:val="clear" w:color="000000" w:fill="FFFFFF"/>
            <w:vAlign w:val="center"/>
            <w:hideMark/>
          </w:tcPr>
          <w:p w14:paraId="30B09D24"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2024</w:t>
            </w:r>
          </w:p>
        </w:tc>
        <w:tc>
          <w:tcPr>
            <w:tcW w:w="1021" w:type="dxa"/>
            <w:gridSpan w:val="3"/>
            <w:tcBorders>
              <w:top w:val="single" w:sz="4" w:space="0" w:color="auto"/>
              <w:left w:val="nil"/>
              <w:bottom w:val="nil"/>
              <w:right w:val="nil"/>
            </w:tcBorders>
            <w:shd w:val="clear" w:color="000000" w:fill="FFFFFF"/>
            <w:vAlign w:val="center"/>
            <w:hideMark/>
          </w:tcPr>
          <w:p w14:paraId="02893B68"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2025</w:t>
            </w:r>
          </w:p>
        </w:tc>
        <w:tc>
          <w:tcPr>
            <w:tcW w:w="1044" w:type="dxa"/>
            <w:gridSpan w:val="2"/>
            <w:tcBorders>
              <w:top w:val="single" w:sz="4" w:space="0" w:color="auto"/>
              <w:left w:val="nil"/>
              <w:bottom w:val="nil"/>
              <w:right w:val="nil"/>
            </w:tcBorders>
            <w:shd w:val="clear" w:color="000000" w:fill="FFFFFF"/>
            <w:vAlign w:val="center"/>
            <w:hideMark/>
          </w:tcPr>
          <w:p w14:paraId="65B8C9A3"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2025</w:t>
            </w:r>
          </w:p>
        </w:tc>
        <w:tc>
          <w:tcPr>
            <w:tcW w:w="1101" w:type="dxa"/>
            <w:gridSpan w:val="2"/>
            <w:tcBorders>
              <w:top w:val="single" w:sz="4" w:space="0" w:color="auto"/>
              <w:left w:val="nil"/>
              <w:bottom w:val="nil"/>
              <w:right w:val="nil"/>
            </w:tcBorders>
            <w:shd w:val="clear" w:color="000000" w:fill="FFFFFF"/>
            <w:vAlign w:val="center"/>
            <w:hideMark/>
          </w:tcPr>
          <w:p w14:paraId="7D1C6FA5"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2026</w:t>
            </w:r>
          </w:p>
        </w:tc>
        <w:tc>
          <w:tcPr>
            <w:tcW w:w="1062" w:type="dxa"/>
            <w:tcBorders>
              <w:top w:val="single" w:sz="4" w:space="0" w:color="auto"/>
              <w:left w:val="nil"/>
              <w:bottom w:val="nil"/>
              <w:right w:val="nil"/>
            </w:tcBorders>
            <w:shd w:val="clear" w:color="000000" w:fill="FFFFFF"/>
            <w:vAlign w:val="center"/>
            <w:hideMark/>
          </w:tcPr>
          <w:p w14:paraId="46F40055"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2027</w:t>
            </w:r>
          </w:p>
        </w:tc>
        <w:tc>
          <w:tcPr>
            <w:tcW w:w="1002" w:type="dxa"/>
            <w:gridSpan w:val="2"/>
            <w:tcBorders>
              <w:top w:val="single" w:sz="4" w:space="0" w:color="auto"/>
              <w:left w:val="nil"/>
              <w:bottom w:val="nil"/>
              <w:right w:val="single" w:sz="4" w:space="0" w:color="auto"/>
            </w:tcBorders>
            <w:shd w:val="clear" w:color="000000" w:fill="FFFFFF"/>
            <w:vAlign w:val="center"/>
            <w:hideMark/>
          </w:tcPr>
          <w:p w14:paraId="19BD8C3B"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2028</w:t>
            </w:r>
          </w:p>
        </w:tc>
      </w:tr>
      <w:tr w:rsidR="0063676F" w:rsidRPr="00312485" w14:paraId="0013AC9C" w14:textId="77777777" w:rsidTr="003E20DF">
        <w:trPr>
          <w:gridAfter w:val="1"/>
          <w:wAfter w:w="39" w:type="dxa"/>
          <w:trHeight w:val="271"/>
          <w:tblHeader/>
        </w:trPr>
        <w:tc>
          <w:tcPr>
            <w:tcW w:w="2694" w:type="dxa"/>
            <w:gridSpan w:val="3"/>
            <w:vMerge/>
            <w:tcBorders>
              <w:left w:val="single" w:sz="4" w:space="0" w:color="auto"/>
              <w:bottom w:val="single" w:sz="4" w:space="0" w:color="auto"/>
              <w:right w:val="nil"/>
            </w:tcBorders>
            <w:shd w:val="clear" w:color="000000" w:fill="FFFFFF"/>
            <w:vAlign w:val="center"/>
            <w:hideMark/>
          </w:tcPr>
          <w:p w14:paraId="3ECA9B42" w14:textId="6A31C1BF" w:rsidR="0063676F" w:rsidRPr="00312485" w:rsidRDefault="0063676F" w:rsidP="00507FE7">
            <w:pPr>
              <w:ind w:firstLine="0"/>
              <w:jc w:val="left"/>
              <w:rPr>
                <w:color w:val="000000"/>
                <w:lang w:val="ro-MD" w:eastAsia="en-GB"/>
              </w:rPr>
            </w:pPr>
          </w:p>
        </w:tc>
        <w:tc>
          <w:tcPr>
            <w:tcW w:w="743" w:type="dxa"/>
            <w:tcBorders>
              <w:top w:val="nil"/>
              <w:left w:val="nil"/>
              <w:bottom w:val="single" w:sz="4" w:space="0" w:color="auto"/>
              <w:right w:val="nil"/>
            </w:tcBorders>
            <w:shd w:val="clear" w:color="auto" w:fill="auto"/>
            <w:vAlign w:val="center"/>
            <w:hideMark/>
          </w:tcPr>
          <w:p w14:paraId="7DB30672" w14:textId="77777777" w:rsidR="0063676F" w:rsidRPr="00312485" w:rsidRDefault="0063676F" w:rsidP="00C97218">
            <w:pPr>
              <w:ind w:left="-113" w:firstLine="0"/>
              <w:jc w:val="center"/>
              <w:rPr>
                <w:b/>
                <w:bCs/>
                <w:color w:val="000000"/>
                <w:lang w:val="ro-MD" w:eastAsia="en-GB"/>
              </w:rPr>
            </w:pPr>
            <w:r w:rsidRPr="00312485">
              <w:rPr>
                <w:b/>
                <w:bCs/>
                <w:color w:val="000000"/>
                <w:lang w:val="ro-MD" w:eastAsia="en-GB"/>
              </w:rPr>
              <w:t>Efectiv</w:t>
            </w:r>
          </w:p>
        </w:tc>
        <w:tc>
          <w:tcPr>
            <w:tcW w:w="825" w:type="dxa"/>
            <w:gridSpan w:val="2"/>
            <w:tcBorders>
              <w:top w:val="nil"/>
              <w:left w:val="nil"/>
              <w:bottom w:val="single" w:sz="4" w:space="0" w:color="auto"/>
              <w:right w:val="nil"/>
            </w:tcBorders>
            <w:shd w:val="clear" w:color="auto" w:fill="auto"/>
            <w:vAlign w:val="center"/>
            <w:hideMark/>
          </w:tcPr>
          <w:p w14:paraId="580B360E"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Efectiv</w:t>
            </w:r>
          </w:p>
        </w:tc>
        <w:tc>
          <w:tcPr>
            <w:tcW w:w="1021" w:type="dxa"/>
            <w:gridSpan w:val="3"/>
            <w:tcBorders>
              <w:top w:val="nil"/>
              <w:left w:val="nil"/>
              <w:bottom w:val="single" w:sz="4" w:space="0" w:color="auto"/>
              <w:right w:val="nil"/>
            </w:tcBorders>
            <w:shd w:val="clear" w:color="auto" w:fill="auto"/>
            <w:vAlign w:val="center"/>
            <w:hideMark/>
          </w:tcPr>
          <w:p w14:paraId="41258DA1"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Aprobat</w:t>
            </w:r>
          </w:p>
        </w:tc>
        <w:tc>
          <w:tcPr>
            <w:tcW w:w="1044" w:type="dxa"/>
            <w:gridSpan w:val="2"/>
            <w:tcBorders>
              <w:top w:val="nil"/>
              <w:left w:val="nil"/>
              <w:bottom w:val="single" w:sz="4" w:space="0" w:color="auto"/>
              <w:right w:val="nil"/>
            </w:tcBorders>
            <w:shd w:val="clear" w:color="auto" w:fill="auto"/>
            <w:vAlign w:val="center"/>
            <w:hideMark/>
          </w:tcPr>
          <w:p w14:paraId="58B72B75" w14:textId="77777777" w:rsidR="0063676F" w:rsidRPr="00312485" w:rsidRDefault="0063676F" w:rsidP="00F5401B">
            <w:pPr>
              <w:ind w:left="-148" w:firstLine="0"/>
              <w:jc w:val="center"/>
              <w:rPr>
                <w:b/>
                <w:bCs/>
                <w:color w:val="000000"/>
                <w:lang w:val="ro-MD" w:eastAsia="en-GB"/>
              </w:rPr>
            </w:pPr>
            <w:r w:rsidRPr="00312485">
              <w:rPr>
                <w:b/>
                <w:bCs/>
                <w:color w:val="000000"/>
                <w:lang w:val="ro-MD" w:eastAsia="en-GB"/>
              </w:rPr>
              <w:t>Modificat</w:t>
            </w:r>
          </w:p>
        </w:tc>
        <w:tc>
          <w:tcPr>
            <w:tcW w:w="1101" w:type="dxa"/>
            <w:gridSpan w:val="2"/>
            <w:tcBorders>
              <w:top w:val="nil"/>
              <w:left w:val="nil"/>
              <w:bottom w:val="single" w:sz="4" w:space="0" w:color="auto"/>
              <w:right w:val="nil"/>
            </w:tcBorders>
            <w:shd w:val="clear" w:color="000000" w:fill="FFFFFF"/>
            <w:vAlign w:val="center"/>
            <w:hideMark/>
          </w:tcPr>
          <w:p w14:paraId="060B1CC5" w14:textId="77777777" w:rsidR="0063676F" w:rsidRPr="00312485" w:rsidRDefault="0063676F" w:rsidP="00507FE7">
            <w:pPr>
              <w:ind w:firstLine="0"/>
              <w:jc w:val="center"/>
              <w:rPr>
                <w:b/>
                <w:bCs/>
                <w:color w:val="000000"/>
                <w:lang w:val="ro-MD" w:eastAsia="en-GB"/>
              </w:rPr>
            </w:pPr>
            <w:r w:rsidRPr="00312485">
              <w:rPr>
                <w:b/>
                <w:bCs/>
                <w:color w:val="000000"/>
                <w:lang w:val="ro-MD" w:eastAsia="en-GB"/>
              </w:rPr>
              <w:t>Prognozat</w:t>
            </w:r>
          </w:p>
        </w:tc>
        <w:tc>
          <w:tcPr>
            <w:tcW w:w="1062" w:type="dxa"/>
            <w:tcBorders>
              <w:top w:val="nil"/>
              <w:left w:val="nil"/>
              <w:bottom w:val="single" w:sz="4" w:space="0" w:color="auto"/>
              <w:right w:val="nil"/>
            </w:tcBorders>
            <w:shd w:val="clear" w:color="000000" w:fill="FFFFFF"/>
            <w:vAlign w:val="center"/>
            <w:hideMark/>
          </w:tcPr>
          <w:p w14:paraId="735B6F4E" w14:textId="77777777" w:rsidR="0063676F" w:rsidRPr="00312485" w:rsidRDefault="0063676F" w:rsidP="0095416C">
            <w:pPr>
              <w:ind w:left="-167" w:firstLine="0"/>
              <w:jc w:val="center"/>
              <w:rPr>
                <w:b/>
                <w:bCs/>
                <w:color w:val="000000"/>
                <w:lang w:val="ro-MD" w:eastAsia="en-GB"/>
              </w:rPr>
            </w:pPr>
            <w:r w:rsidRPr="00312485">
              <w:rPr>
                <w:b/>
                <w:bCs/>
                <w:color w:val="000000"/>
                <w:lang w:val="ro-MD" w:eastAsia="en-GB"/>
              </w:rPr>
              <w:t>Prognozat</w:t>
            </w:r>
          </w:p>
        </w:tc>
        <w:tc>
          <w:tcPr>
            <w:tcW w:w="1002" w:type="dxa"/>
            <w:gridSpan w:val="2"/>
            <w:tcBorders>
              <w:top w:val="nil"/>
              <w:left w:val="nil"/>
              <w:bottom w:val="single" w:sz="4" w:space="0" w:color="auto"/>
              <w:right w:val="single" w:sz="4" w:space="0" w:color="auto"/>
            </w:tcBorders>
            <w:shd w:val="clear" w:color="000000" w:fill="FFFFFF"/>
            <w:vAlign w:val="center"/>
            <w:hideMark/>
          </w:tcPr>
          <w:p w14:paraId="15C9F6F4" w14:textId="77777777" w:rsidR="0063676F" w:rsidRPr="00312485" w:rsidRDefault="0063676F" w:rsidP="0095416C">
            <w:pPr>
              <w:ind w:left="-69" w:right="-114" w:firstLine="0"/>
              <w:jc w:val="center"/>
              <w:rPr>
                <w:b/>
                <w:bCs/>
                <w:color w:val="000000"/>
                <w:lang w:val="ro-MD" w:eastAsia="en-GB"/>
              </w:rPr>
            </w:pPr>
            <w:r w:rsidRPr="00312485">
              <w:rPr>
                <w:b/>
                <w:bCs/>
                <w:color w:val="000000"/>
                <w:lang w:val="ro-MD" w:eastAsia="en-GB"/>
              </w:rPr>
              <w:t>Prognozat</w:t>
            </w:r>
          </w:p>
        </w:tc>
      </w:tr>
      <w:tr w:rsidR="00916856" w:rsidRPr="00312485" w14:paraId="79E4898D" w14:textId="77777777" w:rsidTr="003E20DF">
        <w:trPr>
          <w:gridAfter w:val="1"/>
          <w:wAfter w:w="39" w:type="dxa"/>
          <w:trHeight w:val="209"/>
        </w:trPr>
        <w:tc>
          <w:tcPr>
            <w:tcW w:w="26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DD19878" w14:textId="77777777" w:rsidR="00916856" w:rsidRPr="00312485" w:rsidRDefault="00916856" w:rsidP="005B533B">
            <w:pPr>
              <w:ind w:right="-190" w:firstLine="0"/>
              <w:jc w:val="left"/>
              <w:rPr>
                <w:b/>
                <w:bCs/>
                <w:color w:val="000000"/>
                <w:lang w:val="ro-MD" w:eastAsia="en-GB"/>
              </w:rPr>
            </w:pPr>
            <w:r w:rsidRPr="00312485">
              <w:rPr>
                <w:b/>
                <w:bCs/>
                <w:color w:val="000000"/>
                <w:lang w:val="ro-MD" w:eastAsia="en-GB"/>
              </w:rPr>
              <w:t>Total serviciul datoriei de stat</w:t>
            </w:r>
          </w:p>
        </w:tc>
        <w:tc>
          <w:tcPr>
            <w:tcW w:w="7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D2E520"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1.7</w:t>
            </w:r>
          </w:p>
        </w:tc>
        <w:tc>
          <w:tcPr>
            <w:tcW w:w="8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1ACC03C"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1.3</w:t>
            </w:r>
          </w:p>
        </w:tc>
        <w:tc>
          <w:tcPr>
            <w:tcW w:w="102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B576342"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1.3</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287D44A"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1.4</w:t>
            </w:r>
          </w:p>
        </w:tc>
        <w:tc>
          <w:tcPr>
            <w:tcW w:w="11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FE7E848"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1.6</w:t>
            </w:r>
          </w:p>
        </w:tc>
        <w:tc>
          <w:tcPr>
            <w:tcW w:w="10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C70459"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1.6</w:t>
            </w:r>
          </w:p>
        </w:tc>
        <w:tc>
          <w:tcPr>
            <w:tcW w:w="100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3FE9D48"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1.6</w:t>
            </w:r>
          </w:p>
        </w:tc>
      </w:tr>
      <w:tr w:rsidR="00916856" w:rsidRPr="00312485" w14:paraId="1689BE52" w14:textId="77777777" w:rsidTr="003E20DF">
        <w:trPr>
          <w:gridAfter w:val="1"/>
          <w:wAfter w:w="39" w:type="dxa"/>
          <w:trHeight w:val="194"/>
        </w:trPr>
        <w:tc>
          <w:tcPr>
            <w:tcW w:w="750" w:type="dxa"/>
            <w:tcBorders>
              <w:top w:val="single" w:sz="4" w:space="0" w:color="auto"/>
              <w:left w:val="single" w:sz="4" w:space="0" w:color="auto"/>
              <w:bottom w:val="single" w:sz="4" w:space="0" w:color="auto"/>
            </w:tcBorders>
            <w:shd w:val="clear" w:color="000000" w:fill="FFFFFF"/>
            <w:vAlign w:val="center"/>
            <w:hideMark/>
          </w:tcPr>
          <w:p w14:paraId="4F7DE17B" w14:textId="77777777" w:rsidR="00916856" w:rsidRPr="00312485" w:rsidRDefault="00916856" w:rsidP="00507FE7">
            <w:pPr>
              <w:ind w:firstLine="0"/>
              <w:jc w:val="left"/>
              <w:rPr>
                <w:color w:val="000000"/>
                <w:lang w:val="ro-MD" w:eastAsia="en-GB"/>
              </w:rPr>
            </w:pPr>
            <w:r w:rsidRPr="00312485">
              <w:rPr>
                <w:color w:val="000000"/>
                <w:lang w:val="ro-MD" w:eastAsia="en-GB"/>
              </w:rPr>
              <w:t> </w:t>
            </w:r>
          </w:p>
        </w:tc>
        <w:tc>
          <w:tcPr>
            <w:tcW w:w="1944" w:type="dxa"/>
            <w:gridSpan w:val="2"/>
            <w:tcBorders>
              <w:top w:val="single" w:sz="4" w:space="0" w:color="auto"/>
              <w:bottom w:val="single" w:sz="4" w:space="0" w:color="auto"/>
              <w:right w:val="single" w:sz="4" w:space="0" w:color="auto"/>
            </w:tcBorders>
            <w:shd w:val="clear" w:color="000000" w:fill="FFFFFF"/>
            <w:vAlign w:val="center"/>
            <w:hideMark/>
          </w:tcPr>
          <w:p w14:paraId="2B3FFDE2" w14:textId="77777777" w:rsidR="00916856" w:rsidRPr="00312485" w:rsidRDefault="00916856" w:rsidP="00507FE7">
            <w:pPr>
              <w:ind w:firstLine="0"/>
              <w:jc w:val="left"/>
              <w:rPr>
                <w:color w:val="000000"/>
                <w:lang w:val="ro-MD" w:eastAsia="en-GB"/>
              </w:rPr>
            </w:pPr>
            <w:r w:rsidRPr="00312485">
              <w:rPr>
                <w:color w:val="000000"/>
                <w:lang w:val="ro-MD" w:eastAsia="en-GB"/>
              </w:rPr>
              <w:t>Datoria externă</w:t>
            </w:r>
          </w:p>
        </w:tc>
        <w:tc>
          <w:tcPr>
            <w:tcW w:w="7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FB848B" w14:textId="77777777" w:rsidR="00916856" w:rsidRPr="00312485" w:rsidRDefault="00916856" w:rsidP="00507FE7">
            <w:pPr>
              <w:ind w:firstLine="0"/>
              <w:jc w:val="center"/>
              <w:rPr>
                <w:color w:val="000000"/>
                <w:lang w:val="ro-MD" w:eastAsia="en-GB"/>
              </w:rPr>
            </w:pPr>
            <w:r w:rsidRPr="00312485">
              <w:rPr>
                <w:color w:val="000000"/>
                <w:lang w:val="ro-MD" w:eastAsia="en-GB"/>
              </w:rPr>
              <w:t>0.4</w:t>
            </w:r>
          </w:p>
        </w:tc>
        <w:tc>
          <w:tcPr>
            <w:tcW w:w="82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C18A03C" w14:textId="77777777" w:rsidR="00916856" w:rsidRPr="00312485" w:rsidRDefault="00916856" w:rsidP="00507FE7">
            <w:pPr>
              <w:ind w:firstLine="0"/>
              <w:jc w:val="center"/>
              <w:rPr>
                <w:color w:val="000000"/>
                <w:lang w:val="ro-MD" w:eastAsia="en-GB"/>
              </w:rPr>
            </w:pPr>
            <w:r w:rsidRPr="00312485">
              <w:rPr>
                <w:color w:val="000000"/>
                <w:lang w:val="ro-MD" w:eastAsia="en-GB"/>
              </w:rPr>
              <w:t>0.5</w:t>
            </w:r>
          </w:p>
        </w:tc>
        <w:tc>
          <w:tcPr>
            <w:tcW w:w="102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7C81289" w14:textId="77777777" w:rsidR="00916856" w:rsidRPr="00312485" w:rsidRDefault="00916856" w:rsidP="00507FE7">
            <w:pPr>
              <w:ind w:firstLine="0"/>
              <w:jc w:val="center"/>
              <w:rPr>
                <w:color w:val="000000"/>
                <w:lang w:val="ro-MD" w:eastAsia="en-GB"/>
              </w:rPr>
            </w:pPr>
            <w:r w:rsidRPr="00312485">
              <w:rPr>
                <w:color w:val="000000"/>
                <w:lang w:val="ro-MD" w:eastAsia="en-GB"/>
              </w:rPr>
              <w:t>0.6</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17BEB76" w14:textId="77777777" w:rsidR="00916856" w:rsidRPr="00312485" w:rsidRDefault="00916856" w:rsidP="00507FE7">
            <w:pPr>
              <w:ind w:firstLine="0"/>
              <w:jc w:val="center"/>
              <w:rPr>
                <w:color w:val="000000"/>
                <w:lang w:val="ro-MD" w:eastAsia="en-GB"/>
              </w:rPr>
            </w:pPr>
            <w:r w:rsidRPr="00312485">
              <w:rPr>
                <w:color w:val="000000"/>
                <w:lang w:val="ro-MD" w:eastAsia="en-GB"/>
              </w:rPr>
              <w:t>0.6</w:t>
            </w:r>
          </w:p>
        </w:tc>
        <w:tc>
          <w:tcPr>
            <w:tcW w:w="11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A04D19A" w14:textId="77777777" w:rsidR="00916856" w:rsidRPr="00312485" w:rsidRDefault="00916856" w:rsidP="00507FE7">
            <w:pPr>
              <w:ind w:firstLine="0"/>
              <w:jc w:val="center"/>
              <w:rPr>
                <w:color w:val="000000"/>
                <w:lang w:val="ro-MD" w:eastAsia="en-GB"/>
              </w:rPr>
            </w:pPr>
            <w:r w:rsidRPr="00312485">
              <w:rPr>
                <w:color w:val="000000"/>
                <w:lang w:val="ro-MD" w:eastAsia="en-GB"/>
              </w:rPr>
              <w:t>0.6</w:t>
            </w:r>
          </w:p>
        </w:tc>
        <w:tc>
          <w:tcPr>
            <w:tcW w:w="10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E9E295" w14:textId="77777777" w:rsidR="00916856" w:rsidRPr="00312485" w:rsidRDefault="00916856" w:rsidP="00507FE7">
            <w:pPr>
              <w:ind w:firstLine="0"/>
              <w:jc w:val="center"/>
              <w:rPr>
                <w:color w:val="000000"/>
                <w:lang w:val="ro-MD" w:eastAsia="en-GB"/>
              </w:rPr>
            </w:pPr>
            <w:r w:rsidRPr="00312485">
              <w:rPr>
                <w:color w:val="000000"/>
                <w:lang w:val="ro-MD" w:eastAsia="en-GB"/>
              </w:rPr>
              <w:t>0.6</w:t>
            </w:r>
          </w:p>
        </w:tc>
        <w:tc>
          <w:tcPr>
            <w:tcW w:w="100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A6153D" w14:textId="77777777" w:rsidR="00916856" w:rsidRPr="00312485" w:rsidRDefault="00916856" w:rsidP="00507FE7">
            <w:pPr>
              <w:ind w:firstLine="0"/>
              <w:jc w:val="center"/>
              <w:rPr>
                <w:color w:val="000000"/>
                <w:lang w:val="ro-MD" w:eastAsia="en-GB"/>
              </w:rPr>
            </w:pPr>
            <w:r w:rsidRPr="00312485">
              <w:rPr>
                <w:color w:val="000000"/>
                <w:lang w:val="ro-MD" w:eastAsia="en-GB"/>
              </w:rPr>
              <w:t>0.6</w:t>
            </w:r>
          </w:p>
        </w:tc>
      </w:tr>
      <w:tr w:rsidR="00F205BC" w:rsidRPr="00312485" w14:paraId="3A2FF87D" w14:textId="77777777" w:rsidTr="003E20DF">
        <w:trPr>
          <w:gridAfter w:val="1"/>
          <w:wAfter w:w="39" w:type="dxa"/>
          <w:trHeight w:val="127"/>
        </w:trPr>
        <w:tc>
          <w:tcPr>
            <w:tcW w:w="750" w:type="dxa"/>
            <w:tcBorders>
              <w:top w:val="single" w:sz="4" w:space="0" w:color="auto"/>
              <w:left w:val="single" w:sz="4" w:space="0" w:color="auto"/>
              <w:bottom w:val="single" w:sz="4" w:space="0" w:color="auto"/>
            </w:tcBorders>
            <w:shd w:val="clear" w:color="000000" w:fill="FFFFFF"/>
            <w:vAlign w:val="center"/>
          </w:tcPr>
          <w:p w14:paraId="3DF5C5D3" w14:textId="77777777" w:rsidR="00F205BC" w:rsidRPr="00312485" w:rsidRDefault="00F205BC" w:rsidP="00F205BC">
            <w:pPr>
              <w:ind w:firstLine="0"/>
              <w:jc w:val="left"/>
              <w:rPr>
                <w:color w:val="000000"/>
                <w:lang w:val="ro-MD" w:eastAsia="en-GB"/>
              </w:rPr>
            </w:pPr>
          </w:p>
        </w:tc>
        <w:tc>
          <w:tcPr>
            <w:tcW w:w="1944" w:type="dxa"/>
            <w:gridSpan w:val="2"/>
            <w:tcBorders>
              <w:top w:val="single" w:sz="4" w:space="0" w:color="auto"/>
              <w:bottom w:val="single" w:sz="4" w:space="0" w:color="auto"/>
              <w:right w:val="single" w:sz="4" w:space="0" w:color="auto"/>
            </w:tcBorders>
            <w:shd w:val="clear" w:color="000000" w:fill="FFFFFF"/>
            <w:vAlign w:val="center"/>
          </w:tcPr>
          <w:p w14:paraId="18B308D2" w14:textId="61168907" w:rsidR="00F205BC" w:rsidRPr="00312485" w:rsidRDefault="00F205BC" w:rsidP="00F205BC">
            <w:pPr>
              <w:ind w:firstLine="0"/>
              <w:jc w:val="left"/>
              <w:rPr>
                <w:color w:val="000000"/>
                <w:lang w:val="ro-MD" w:eastAsia="en-GB"/>
              </w:rPr>
            </w:pPr>
            <w:r w:rsidRPr="00312485">
              <w:rPr>
                <w:color w:val="000000"/>
                <w:lang w:val="ro-MD" w:eastAsia="en-GB"/>
              </w:rPr>
              <w:t>Datoria internă</w:t>
            </w:r>
          </w:p>
        </w:tc>
        <w:tc>
          <w:tcPr>
            <w:tcW w:w="743" w:type="dxa"/>
            <w:tcBorders>
              <w:top w:val="single" w:sz="4" w:space="0" w:color="auto"/>
              <w:left w:val="single" w:sz="4" w:space="0" w:color="auto"/>
              <w:bottom w:val="single" w:sz="4" w:space="0" w:color="auto"/>
              <w:right w:val="single" w:sz="4" w:space="0" w:color="auto"/>
            </w:tcBorders>
            <w:shd w:val="clear" w:color="000000" w:fill="FFFFFF"/>
            <w:vAlign w:val="center"/>
          </w:tcPr>
          <w:p w14:paraId="2766199C" w14:textId="3893B905" w:rsidR="00F205BC" w:rsidRPr="00312485" w:rsidRDefault="00F205BC" w:rsidP="00F205BC">
            <w:pPr>
              <w:ind w:firstLine="0"/>
              <w:jc w:val="center"/>
              <w:rPr>
                <w:color w:val="000000"/>
                <w:lang w:val="ro-MD" w:eastAsia="en-GB"/>
              </w:rPr>
            </w:pPr>
            <w:r w:rsidRPr="00312485">
              <w:rPr>
                <w:color w:val="000000"/>
                <w:lang w:val="ro-MD" w:eastAsia="en-GB"/>
              </w:rPr>
              <w:t>1.3</w:t>
            </w:r>
          </w:p>
        </w:tc>
        <w:tc>
          <w:tcPr>
            <w:tcW w:w="82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2F14DCA" w14:textId="162DC8BD" w:rsidR="00F205BC" w:rsidRPr="00312485" w:rsidRDefault="00F205BC" w:rsidP="00F205BC">
            <w:pPr>
              <w:ind w:firstLine="0"/>
              <w:jc w:val="center"/>
              <w:rPr>
                <w:color w:val="000000"/>
                <w:lang w:val="ro-MD" w:eastAsia="en-GB"/>
              </w:rPr>
            </w:pPr>
            <w:r w:rsidRPr="00312485">
              <w:rPr>
                <w:color w:val="000000"/>
                <w:lang w:val="ro-MD" w:eastAsia="en-GB"/>
              </w:rPr>
              <w:t>0.8</w:t>
            </w:r>
          </w:p>
        </w:tc>
        <w:tc>
          <w:tcPr>
            <w:tcW w:w="10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E42093C" w14:textId="757ABEEB" w:rsidR="00F205BC" w:rsidRPr="00312485" w:rsidRDefault="00F205BC" w:rsidP="00F205BC">
            <w:pPr>
              <w:ind w:firstLine="0"/>
              <w:jc w:val="center"/>
              <w:rPr>
                <w:color w:val="000000"/>
                <w:lang w:val="ro-MD" w:eastAsia="en-GB"/>
              </w:rPr>
            </w:pPr>
            <w:r w:rsidRPr="00312485">
              <w:rPr>
                <w:color w:val="000000"/>
                <w:lang w:val="ro-MD" w:eastAsia="en-GB"/>
              </w:rPr>
              <w:t>0.7</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692E3E" w14:textId="00FB296C" w:rsidR="00F205BC" w:rsidRPr="00312485" w:rsidRDefault="00F205BC" w:rsidP="00F205BC">
            <w:pPr>
              <w:ind w:firstLine="0"/>
              <w:jc w:val="center"/>
              <w:rPr>
                <w:color w:val="000000"/>
                <w:lang w:val="ro-MD" w:eastAsia="en-GB"/>
              </w:rPr>
            </w:pPr>
            <w:r w:rsidRPr="00312485">
              <w:rPr>
                <w:color w:val="000000"/>
                <w:lang w:val="ro-MD" w:eastAsia="en-GB"/>
              </w:rPr>
              <w:t>0.8</w:t>
            </w:r>
          </w:p>
        </w:tc>
        <w:tc>
          <w:tcPr>
            <w:tcW w:w="110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C1FEC7F" w14:textId="3E70C503" w:rsidR="00F205BC" w:rsidRPr="00312485" w:rsidRDefault="00F205BC" w:rsidP="00F205BC">
            <w:pPr>
              <w:ind w:firstLine="0"/>
              <w:jc w:val="center"/>
              <w:rPr>
                <w:color w:val="000000"/>
                <w:lang w:val="ro-MD" w:eastAsia="en-GB"/>
              </w:rPr>
            </w:pPr>
            <w:r w:rsidRPr="00312485">
              <w:rPr>
                <w:color w:val="000000"/>
                <w:lang w:val="ro-MD" w:eastAsia="en-GB"/>
              </w:rPr>
              <w:t>1.0</w:t>
            </w:r>
          </w:p>
        </w:tc>
        <w:tc>
          <w:tcPr>
            <w:tcW w:w="1062" w:type="dxa"/>
            <w:tcBorders>
              <w:top w:val="single" w:sz="4" w:space="0" w:color="auto"/>
              <w:left w:val="single" w:sz="4" w:space="0" w:color="auto"/>
              <w:bottom w:val="single" w:sz="4" w:space="0" w:color="auto"/>
              <w:right w:val="single" w:sz="4" w:space="0" w:color="auto"/>
            </w:tcBorders>
            <w:shd w:val="clear" w:color="000000" w:fill="FFFFFF"/>
            <w:vAlign w:val="center"/>
          </w:tcPr>
          <w:p w14:paraId="0FC0942A" w14:textId="0742E773" w:rsidR="00F205BC" w:rsidRPr="00312485" w:rsidRDefault="00F205BC" w:rsidP="00F205BC">
            <w:pPr>
              <w:ind w:firstLine="0"/>
              <w:jc w:val="center"/>
              <w:rPr>
                <w:color w:val="000000"/>
                <w:lang w:val="ro-MD" w:eastAsia="en-GB"/>
              </w:rPr>
            </w:pPr>
            <w:r w:rsidRPr="00312485">
              <w:rPr>
                <w:color w:val="000000"/>
                <w:lang w:val="ro-MD" w:eastAsia="en-GB"/>
              </w:rPr>
              <w:t>1.0</w:t>
            </w:r>
          </w:p>
        </w:tc>
        <w:tc>
          <w:tcPr>
            <w:tcW w:w="100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A00C26E" w14:textId="2CB5E02D" w:rsidR="00F205BC" w:rsidRPr="00312485" w:rsidRDefault="00F205BC" w:rsidP="00F205BC">
            <w:pPr>
              <w:ind w:firstLine="0"/>
              <w:jc w:val="center"/>
              <w:rPr>
                <w:color w:val="000000"/>
                <w:lang w:val="ro-MD" w:eastAsia="en-GB"/>
              </w:rPr>
            </w:pPr>
            <w:r w:rsidRPr="00312485">
              <w:rPr>
                <w:color w:val="000000"/>
                <w:lang w:val="ro-MD" w:eastAsia="en-GB"/>
              </w:rPr>
              <w:t>1.0</w:t>
            </w:r>
          </w:p>
        </w:tc>
      </w:tr>
      <w:tr w:rsidR="005437AE" w:rsidRPr="00312485" w14:paraId="44A906CA" w14:textId="77777777" w:rsidTr="00716B20">
        <w:trPr>
          <w:trHeight w:val="304"/>
        </w:trPr>
        <w:tc>
          <w:tcPr>
            <w:tcW w:w="5267" w:type="dxa"/>
            <w:gridSpan w:val="8"/>
            <w:tcBorders>
              <w:bottom w:val="single" w:sz="4" w:space="0" w:color="auto"/>
              <w:right w:val="nil"/>
            </w:tcBorders>
            <w:shd w:val="clear" w:color="auto" w:fill="auto"/>
            <w:noWrap/>
            <w:vAlign w:val="bottom"/>
            <w:hideMark/>
          </w:tcPr>
          <w:p w14:paraId="7AE9B203" w14:textId="397CE7D2" w:rsidR="005437AE" w:rsidRPr="00312485" w:rsidRDefault="005437AE" w:rsidP="00716B20">
            <w:pPr>
              <w:ind w:firstLine="0"/>
              <w:jc w:val="left"/>
              <w:rPr>
                <w:lang w:val="ro-MD" w:eastAsia="en-GB"/>
              </w:rPr>
            </w:pPr>
            <w:r w:rsidRPr="00312485">
              <w:rPr>
                <w:color w:val="000000"/>
                <w:sz w:val="28"/>
                <w:szCs w:val="28"/>
                <w:lang w:val="ro-MD" w:eastAsia="en-GB"/>
              </w:rPr>
              <w:t> </w:t>
            </w:r>
            <w:r w:rsidRPr="00312485">
              <w:rPr>
                <w:color w:val="000000"/>
                <w:lang w:val="ro-MD" w:eastAsia="en-GB"/>
              </w:rPr>
              <w:t> </w:t>
            </w:r>
            <w:r w:rsidRPr="00312485">
              <w:rPr>
                <w:color w:val="000000"/>
                <w:sz w:val="28"/>
                <w:szCs w:val="28"/>
                <w:lang w:val="ro-MD" w:eastAsia="en-GB"/>
              </w:rPr>
              <w:t> </w:t>
            </w:r>
            <w:r w:rsidRPr="00312485">
              <w:rPr>
                <w:color w:val="000000"/>
                <w:lang w:val="ro-MD" w:eastAsia="en-GB"/>
              </w:rPr>
              <w:t> </w:t>
            </w:r>
          </w:p>
        </w:tc>
        <w:tc>
          <w:tcPr>
            <w:tcW w:w="4264" w:type="dxa"/>
            <w:gridSpan w:val="9"/>
            <w:tcBorders>
              <w:left w:val="nil"/>
              <w:bottom w:val="single" w:sz="4" w:space="0" w:color="auto"/>
            </w:tcBorders>
            <w:shd w:val="clear" w:color="auto" w:fill="auto"/>
            <w:noWrap/>
            <w:vAlign w:val="bottom"/>
            <w:hideMark/>
          </w:tcPr>
          <w:p w14:paraId="725F14AC" w14:textId="14356C48" w:rsidR="005437AE" w:rsidRPr="00312485" w:rsidRDefault="005437AE" w:rsidP="0063676F">
            <w:pPr>
              <w:ind w:firstLine="0"/>
              <w:jc w:val="right"/>
              <w:rPr>
                <w:color w:val="0F243E"/>
                <w:lang w:val="ro-MD" w:eastAsia="en-GB"/>
              </w:rPr>
            </w:pPr>
            <w:r w:rsidRPr="00312485">
              <w:rPr>
                <w:color w:val="0F243E"/>
                <w:lang w:val="ro-MD" w:eastAsia="en-GB"/>
              </w:rPr>
              <w:t>(</w:t>
            </w:r>
            <w:r w:rsidRPr="00312485">
              <w:rPr>
                <w:color w:val="000000"/>
                <w:lang w:val="ro-MD" w:eastAsia="en-GB"/>
              </w:rPr>
              <w:t>% din VBS cu excepția granturilor)</w:t>
            </w:r>
          </w:p>
        </w:tc>
      </w:tr>
      <w:tr w:rsidR="005437AE" w:rsidRPr="00312485" w14:paraId="3F9B434C" w14:textId="77777777" w:rsidTr="003E20DF">
        <w:trPr>
          <w:trHeight w:val="256"/>
        </w:trPr>
        <w:tc>
          <w:tcPr>
            <w:tcW w:w="26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AA1063" w14:textId="5B2CF10F" w:rsidR="005437AE" w:rsidRPr="00312485" w:rsidRDefault="005437AE" w:rsidP="00507FE7">
            <w:pPr>
              <w:ind w:firstLine="0"/>
              <w:jc w:val="left"/>
              <w:rPr>
                <w:color w:val="000000"/>
                <w:lang w:val="ro-MD" w:eastAsia="en-GB"/>
              </w:rPr>
            </w:pPr>
          </w:p>
        </w:tc>
        <w:tc>
          <w:tcPr>
            <w:tcW w:w="817" w:type="dxa"/>
            <w:gridSpan w:val="2"/>
            <w:tcBorders>
              <w:top w:val="single" w:sz="4" w:space="0" w:color="auto"/>
              <w:left w:val="single" w:sz="4" w:space="0" w:color="auto"/>
              <w:bottom w:val="nil"/>
              <w:right w:val="nil"/>
            </w:tcBorders>
            <w:shd w:val="clear" w:color="000000" w:fill="FFFFFF"/>
            <w:vAlign w:val="center"/>
            <w:hideMark/>
          </w:tcPr>
          <w:p w14:paraId="0A436967"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2023</w:t>
            </w:r>
          </w:p>
        </w:tc>
        <w:tc>
          <w:tcPr>
            <w:tcW w:w="817" w:type="dxa"/>
            <w:gridSpan w:val="2"/>
            <w:tcBorders>
              <w:top w:val="single" w:sz="4" w:space="0" w:color="auto"/>
              <w:left w:val="nil"/>
              <w:bottom w:val="nil"/>
              <w:right w:val="nil"/>
            </w:tcBorders>
            <w:shd w:val="clear" w:color="000000" w:fill="FFFFFF"/>
            <w:vAlign w:val="center"/>
            <w:hideMark/>
          </w:tcPr>
          <w:p w14:paraId="572F5A2D"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2024</w:t>
            </w:r>
          </w:p>
        </w:tc>
        <w:tc>
          <w:tcPr>
            <w:tcW w:w="939" w:type="dxa"/>
            <w:tcBorders>
              <w:top w:val="single" w:sz="4" w:space="0" w:color="auto"/>
              <w:left w:val="nil"/>
              <w:bottom w:val="nil"/>
              <w:right w:val="nil"/>
            </w:tcBorders>
            <w:shd w:val="clear" w:color="000000" w:fill="FFFFFF"/>
            <w:vAlign w:val="center"/>
            <w:hideMark/>
          </w:tcPr>
          <w:p w14:paraId="4EA34E4F"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2025</w:t>
            </w:r>
          </w:p>
        </w:tc>
        <w:tc>
          <w:tcPr>
            <w:tcW w:w="1050" w:type="dxa"/>
            <w:gridSpan w:val="2"/>
            <w:tcBorders>
              <w:top w:val="single" w:sz="4" w:space="0" w:color="auto"/>
              <w:left w:val="nil"/>
              <w:bottom w:val="nil"/>
              <w:right w:val="nil"/>
            </w:tcBorders>
            <w:shd w:val="clear" w:color="000000" w:fill="FFFFFF"/>
            <w:vAlign w:val="center"/>
            <w:hideMark/>
          </w:tcPr>
          <w:p w14:paraId="69FFFDFF"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2025</w:t>
            </w:r>
          </w:p>
        </w:tc>
        <w:tc>
          <w:tcPr>
            <w:tcW w:w="1095" w:type="dxa"/>
            <w:gridSpan w:val="2"/>
            <w:tcBorders>
              <w:top w:val="single" w:sz="4" w:space="0" w:color="auto"/>
              <w:left w:val="nil"/>
              <w:bottom w:val="nil"/>
              <w:right w:val="nil"/>
            </w:tcBorders>
            <w:shd w:val="clear" w:color="000000" w:fill="FFFFFF"/>
            <w:vAlign w:val="center"/>
            <w:hideMark/>
          </w:tcPr>
          <w:p w14:paraId="1CBFFC8D"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2026</w:t>
            </w:r>
          </w:p>
        </w:tc>
        <w:tc>
          <w:tcPr>
            <w:tcW w:w="1095" w:type="dxa"/>
            <w:gridSpan w:val="3"/>
            <w:tcBorders>
              <w:top w:val="single" w:sz="4" w:space="0" w:color="auto"/>
              <w:left w:val="nil"/>
              <w:bottom w:val="nil"/>
              <w:right w:val="nil"/>
            </w:tcBorders>
            <w:shd w:val="clear" w:color="000000" w:fill="FFFFFF"/>
            <w:vAlign w:val="center"/>
            <w:hideMark/>
          </w:tcPr>
          <w:p w14:paraId="0C4869B1"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2027</w:t>
            </w:r>
          </w:p>
        </w:tc>
        <w:tc>
          <w:tcPr>
            <w:tcW w:w="1024" w:type="dxa"/>
            <w:gridSpan w:val="2"/>
            <w:tcBorders>
              <w:top w:val="single" w:sz="4" w:space="0" w:color="auto"/>
              <w:left w:val="nil"/>
              <w:bottom w:val="nil"/>
              <w:right w:val="single" w:sz="4" w:space="0" w:color="auto"/>
            </w:tcBorders>
            <w:shd w:val="clear" w:color="000000" w:fill="FFFFFF"/>
            <w:vAlign w:val="center"/>
            <w:hideMark/>
          </w:tcPr>
          <w:p w14:paraId="510B752E"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2028</w:t>
            </w:r>
          </w:p>
        </w:tc>
      </w:tr>
      <w:tr w:rsidR="005437AE" w:rsidRPr="00312485" w14:paraId="70A185D7" w14:textId="77777777" w:rsidTr="003E20DF">
        <w:trPr>
          <w:trHeight w:val="274"/>
        </w:trPr>
        <w:tc>
          <w:tcPr>
            <w:tcW w:w="2694" w:type="dxa"/>
            <w:gridSpan w:val="3"/>
            <w:vMerge/>
            <w:tcBorders>
              <w:left w:val="single" w:sz="4" w:space="0" w:color="auto"/>
              <w:bottom w:val="single" w:sz="4" w:space="0" w:color="auto"/>
              <w:right w:val="single" w:sz="4" w:space="0" w:color="auto"/>
            </w:tcBorders>
            <w:shd w:val="clear" w:color="auto" w:fill="auto"/>
            <w:vAlign w:val="center"/>
            <w:hideMark/>
          </w:tcPr>
          <w:p w14:paraId="7FFA4B7D" w14:textId="0B4B0E94" w:rsidR="005437AE" w:rsidRPr="00312485" w:rsidRDefault="005437AE" w:rsidP="00507FE7">
            <w:pPr>
              <w:ind w:firstLine="0"/>
              <w:jc w:val="left"/>
              <w:rPr>
                <w:color w:val="000000"/>
                <w:lang w:val="ro-MD" w:eastAsia="en-GB"/>
              </w:rPr>
            </w:pPr>
          </w:p>
        </w:tc>
        <w:tc>
          <w:tcPr>
            <w:tcW w:w="817" w:type="dxa"/>
            <w:gridSpan w:val="2"/>
            <w:tcBorders>
              <w:top w:val="nil"/>
              <w:left w:val="single" w:sz="4" w:space="0" w:color="auto"/>
              <w:bottom w:val="single" w:sz="4" w:space="0" w:color="auto"/>
              <w:right w:val="nil"/>
            </w:tcBorders>
            <w:shd w:val="clear" w:color="auto" w:fill="auto"/>
            <w:vAlign w:val="center"/>
            <w:hideMark/>
          </w:tcPr>
          <w:p w14:paraId="402EFC43"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Efectiv</w:t>
            </w:r>
          </w:p>
        </w:tc>
        <w:tc>
          <w:tcPr>
            <w:tcW w:w="817" w:type="dxa"/>
            <w:gridSpan w:val="2"/>
            <w:tcBorders>
              <w:top w:val="nil"/>
              <w:left w:val="nil"/>
              <w:bottom w:val="single" w:sz="4" w:space="0" w:color="auto"/>
              <w:right w:val="nil"/>
            </w:tcBorders>
            <w:shd w:val="clear" w:color="auto" w:fill="auto"/>
            <w:vAlign w:val="center"/>
            <w:hideMark/>
          </w:tcPr>
          <w:p w14:paraId="659067EF"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Efectiv</w:t>
            </w:r>
          </w:p>
        </w:tc>
        <w:tc>
          <w:tcPr>
            <w:tcW w:w="939" w:type="dxa"/>
            <w:tcBorders>
              <w:top w:val="nil"/>
              <w:left w:val="nil"/>
              <w:bottom w:val="single" w:sz="4" w:space="0" w:color="auto"/>
              <w:right w:val="nil"/>
            </w:tcBorders>
            <w:shd w:val="clear" w:color="auto" w:fill="auto"/>
            <w:vAlign w:val="center"/>
            <w:hideMark/>
          </w:tcPr>
          <w:p w14:paraId="6FF0349B"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Aprobat</w:t>
            </w:r>
          </w:p>
        </w:tc>
        <w:tc>
          <w:tcPr>
            <w:tcW w:w="1050" w:type="dxa"/>
            <w:gridSpan w:val="2"/>
            <w:tcBorders>
              <w:top w:val="nil"/>
              <w:left w:val="nil"/>
              <w:bottom w:val="single" w:sz="4" w:space="0" w:color="auto"/>
              <w:right w:val="nil"/>
            </w:tcBorders>
            <w:shd w:val="clear" w:color="auto" w:fill="auto"/>
            <w:vAlign w:val="center"/>
            <w:hideMark/>
          </w:tcPr>
          <w:p w14:paraId="6D1F1704"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Modificat</w:t>
            </w:r>
          </w:p>
        </w:tc>
        <w:tc>
          <w:tcPr>
            <w:tcW w:w="1095" w:type="dxa"/>
            <w:gridSpan w:val="2"/>
            <w:tcBorders>
              <w:top w:val="nil"/>
              <w:left w:val="nil"/>
              <w:bottom w:val="single" w:sz="4" w:space="0" w:color="auto"/>
              <w:right w:val="nil"/>
            </w:tcBorders>
            <w:shd w:val="clear" w:color="000000" w:fill="FFFFFF"/>
            <w:vAlign w:val="center"/>
            <w:hideMark/>
          </w:tcPr>
          <w:p w14:paraId="5CC2E645"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Prognozat</w:t>
            </w:r>
          </w:p>
        </w:tc>
        <w:tc>
          <w:tcPr>
            <w:tcW w:w="1095" w:type="dxa"/>
            <w:gridSpan w:val="3"/>
            <w:tcBorders>
              <w:top w:val="nil"/>
              <w:left w:val="nil"/>
              <w:bottom w:val="single" w:sz="4" w:space="0" w:color="auto"/>
              <w:right w:val="nil"/>
            </w:tcBorders>
            <w:shd w:val="clear" w:color="000000" w:fill="FFFFFF"/>
            <w:vAlign w:val="center"/>
            <w:hideMark/>
          </w:tcPr>
          <w:p w14:paraId="3C08BB9C" w14:textId="77777777" w:rsidR="005437AE" w:rsidRPr="00312485" w:rsidRDefault="005437AE" w:rsidP="00507FE7">
            <w:pPr>
              <w:ind w:firstLine="0"/>
              <w:jc w:val="center"/>
              <w:rPr>
                <w:b/>
                <w:bCs/>
                <w:color w:val="000000"/>
                <w:lang w:val="ro-MD" w:eastAsia="en-GB"/>
              </w:rPr>
            </w:pPr>
            <w:r w:rsidRPr="00312485">
              <w:rPr>
                <w:b/>
                <w:bCs/>
                <w:color w:val="000000"/>
                <w:lang w:val="ro-MD" w:eastAsia="en-GB"/>
              </w:rPr>
              <w:t>Prognozat</w:t>
            </w:r>
          </w:p>
        </w:tc>
        <w:tc>
          <w:tcPr>
            <w:tcW w:w="1024" w:type="dxa"/>
            <w:gridSpan w:val="2"/>
            <w:tcBorders>
              <w:top w:val="nil"/>
              <w:left w:val="nil"/>
              <w:bottom w:val="single" w:sz="4" w:space="0" w:color="auto"/>
              <w:right w:val="single" w:sz="4" w:space="0" w:color="auto"/>
            </w:tcBorders>
            <w:shd w:val="clear" w:color="000000" w:fill="FFFFFF"/>
            <w:vAlign w:val="center"/>
            <w:hideMark/>
          </w:tcPr>
          <w:p w14:paraId="361221A5" w14:textId="77777777" w:rsidR="005437AE" w:rsidRPr="00312485" w:rsidRDefault="005437AE" w:rsidP="0095416C">
            <w:pPr>
              <w:ind w:left="-61" w:right="-69" w:firstLine="0"/>
              <w:jc w:val="center"/>
              <w:rPr>
                <w:b/>
                <w:bCs/>
                <w:color w:val="000000"/>
                <w:lang w:val="ro-MD" w:eastAsia="en-GB"/>
              </w:rPr>
            </w:pPr>
            <w:r w:rsidRPr="00312485">
              <w:rPr>
                <w:b/>
                <w:bCs/>
                <w:color w:val="000000"/>
                <w:lang w:val="ro-MD" w:eastAsia="en-GB"/>
              </w:rPr>
              <w:t>Prognozat</w:t>
            </w:r>
          </w:p>
        </w:tc>
      </w:tr>
      <w:tr w:rsidR="00916856" w:rsidRPr="00312485" w14:paraId="794AE913" w14:textId="77777777" w:rsidTr="003E20DF">
        <w:trPr>
          <w:trHeight w:val="402"/>
        </w:trPr>
        <w:tc>
          <w:tcPr>
            <w:tcW w:w="269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986D35" w14:textId="77777777" w:rsidR="00916856" w:rsidRPr="00312485" w:rsidRDefault="00916856" w:rsidP="008131E5">
            <w:pPr>
              <w:ind w:right="-113" w:firstLine="0"/>
              <w:jc w:val="left"/>
              <w:rPr>
                <w:b/>
                <w:bCs/>
                <w:color w:val="000000"/>
                <w:lang w:val="ro-MD" w:eastAsia="en-GB"/>
              </w:rPr>
            </w:pPr>
            <w:r w:rsidRPr="00312485">
              <w:rPr>
                <w:b/>
                <w:bCs/>
                <w:color w:val="000000"/>
                <w:lang w:val="ro-MD" w:eastAsia="en-GB"/>
              </w:rPr>
              <w:t>Total serviciul datoriei de stat</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A27DDF"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8.9</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C391FB"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6.7</w:t>
            </w:r>
          </w:p>
        </w:tc>
        <w:tc>
          <w:tcPr>
            <w:tcW w:w="9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C405FB"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6.7</w:t>
            </w:r>
          </w:p>
        </w:tc>
        <w:tc>
          <w:tcPr>
            <w:tcW w:w="10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D261FB7"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6.7</w:t>
            </w: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A9B656D"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7.8</w:t>
            </w:r>
          </w:p>
        </w:tc>
        <w:tc>
          <w:tcPr>
            <w:tcW w:w="109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68EFE69"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8.0</w:t>
            </w:r>
          </w:p>
        </w:tc>
        <w:tc>
          <w:tcPr>
            <w:tcW w:w="10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C2C6A2" w14:textId="77777777" w:rsidR="00916856" w:rsidRPr="00312485" w:rsidRDefault="00916856" w:rsidP="00507FE7">
            <w:pPr>
              <w:ind w:firstLine="0"/>
              <w:jc w:val="center"/>
              <w:rPr>
                <w:b/>
                <w:bCs/>
                <w:color w:val="000000"/>
                <w:lang w:val="ro-MD" w:eastAsia="en-GB"/>
              </w:rPr>
            </w:pPr>
            <w:r w:rsidRPr="00312485">
              <w:rPr>
                <w:b/>
                <w:bCs/>
                <w:color w:val="000000"/>
                <w:lang w:val="ro-MD" w:eastAsia="en-GB"/>
              </w:rPr>
              <w:t>7.8</w:t>
            </w:r>
          </w:p>
        </w:tc>
      </w:tr>
      <w:tr w:rsidR="00916856" w:rsidRPr="00312485" w14:paraId="3CC8AB39" w14:textId="77777777" w:rsidTr="003E20DF">
        <w:trPr>
          <w:trHeight w:val="137"/>
        </w:trPr>
        <w:tc>
          <w:tcPr>
            <w:tcW w:w="816" w:type="dxa"/>
            <w:gridSpan w:val="2"/>
            <w:tcBorders>
              <w:top w:val="single" w:sz="4" w:space="0" w:color="auto"/>
              <w:left w:val="single" w:sz="4" w:space="0" w:color="auto"/>
              <w:bottom w:val="single" w:sz="4" w:space="0" w:color="auto"/>
            </w:tcBorders>
            <w:shd w:val="clear" w:color="000000" w:fill="FFFFFF"/>
            <w:vAlign w:val="center"/>
            <w:hideMark/>
          </w:tcPr>
          <w:p w14:paraId="49DC6EE5" w14:textId="77777777" w:rsidR="00916856" w:rsidRPr="00312485" w:rsidRDefault="00916856" w:rsidP="00507FE7">
            <w:pPr>
              <w:ind w:firstLine="0"/>
              <w:jc w:val="left"/>
              <w:rPr>
                <w:color w:val="000000"/>
                <w:lang w:val="ro-MD" w:eastAsia="en-GB"/>
              </w:rPr>
            </w:pPr>
            <w:r w:rsidRPr="00312485">
              <w:rPr>
                <w:color w:val="000000"/>
                <w:lang w:val="ro-MD" w:eastAsia="en-GB"/>
              </w:rPr>
              <w:t> </w:t>
            </w:r>
          </w:p>
        </w:tc>
        <w:tc>
          <w:tcPr>
            <w:tcW w:w="1878" w:type="dxa"/>
            <w:tcBorders>
              <w:top w:val="single" w:sz="4" w:space="0" w:color="auto"/>
              <w:bottom w:val="single" w:sz="4" w:space="0" w:color="auto"/>
              <w:right w:val="single" w:sz="4" w:space="0" w:color="auto"/>
            </w:tcBorders>
            <w:shd w:val="clear" w:color="000000" w:fill="FFFFFF"/>
            <w:vAlign w:val="center"/>
            <w:hideMark/>
          </w:tcPr>
          <w:p w14:paraId="28971DBC" w14:textId="77777777" w:rsidR="00916856" w:rsidRPr="00312485" w:rsidRDefault="00916856" w:rsidP="00507FE7">
            <w:pPr>
              <w:ind w:firstLine="0"/>
              <w:jc w:val="left"/>
              <w:rPr>
                <w:color w:val="000000"/>
                <w:lang w:val="ro-MD" w:eastAsia="en-GB"/>
              </w:rPr>
            </w:pPr>
            <w:r w:rsidRPr="00312485">
              <w:rPr>
                <w:color w:val="000000"/>
                <w:lang w:val="ro-MD" w:eastAsia="en-GB"/>
              </w:rPr>
              <w:t>Datoria externă</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5C8745" w14:textId="77777777" w:rsidR="00916856" w:rsidRPr="00312485" w:rsidRDefault="00916856" w:rsidP="00507FE7">
            <w:pPr>
              <w:ind w:firstLine="0"/>
              <w:jc w:val="center"/>
              <w:rPr>
                <w:color w:val="000000"/>
                <w:lang w:val="ro-MD" w:eastAsia="en-GB"/>
              </w:rPr>
            </w:pPr>
            <w:r w:rsidRPr="00312485">
              <w:rPr>
                <w:color w:val="000000"/>
                <w:lang w:val="ro-MD" w:eastAsia="en-GB"/>
              </w:rPr>
              <w:t>2.4</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BE30F8" w14:textId="77777777" w:rsidR="00916856" w:rsidRPr="00312485" w:rsidRDefault="00916856" w:rsidP="00507FE7">
            <w:pPr>
              <w:ind w:firstLine="0"/>
              <w:jc w:val="center"/>
              <w:rPr>
                <w:color w:val="000000"/>
                <w:lang w:val="ro-MD" w:eastAsia="en-GB"/>
              </w:rPr>
            </w:pPr>
            <w:r w:rsidRPr="00312485">
              <w:rPr>
                <w:color w:val="000000"/>
                <w:lang w:val="ro-MD" w:eastAsia="en-GB"/>
              </w:rPr>
              <w:t>2.8</w:t>
            </w:r>
          </w:p>
        </w:tc>
        <w:tc>
          <w:tcPr>
            <w:tcW w:w="9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6957D6" w14:textId="77777777" w:rsidR="00916856" w:rsidRPr="00312485" w:rsidRDefault="00916856" w:rsidP="00507FE7">
            <w:pPr>
              <w:ind w:firstLine="0"/>
              <w:jc w:val="center"/>
              <w:rPr>
                <w:color w:val="000000"/>
                <w:lang w:val="ro-MD" w:eastAsia="en-GB"/>
              </w:rPr>
            </w:pPr>
            <w:r w:rsidRPr="00312485">
              <w:rPr>
                <w:color w:val="000000"/>
                <w:lang w:val="ro-MD" w:eastAsia="en-GB"/>
              </w:rPr>
              <w:t>3.0</w:t>
            </w:r>
          </w:p>
        </w:tc>
        <w:tc>
          <w:tcPr>
            <w:tcW w:w="10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5B79FE" w14:textId="77777777" w:rsidR="00916856" w:rsidRPr="00312485" w:rsidRDefault="00916856" w:rsidP="00507FE7">
            <w:pPr>
              <w:ind w:firstLine="0"/>
              <w:jc w:val="center"/>
              <w:rPr>
                <w:color w:val="000000"/>
                <w:lang w:val="ro-MD" w:eastAsia="en-GB"/>
              </w:rPr>
            </w:pPr>
            <w:r w:rsidRPr="00312485">
              <w:rPr>
                <w:color w:val="000000"/>
                <w:lang w:val="ro-MD" w:eastAsia="en-GB"/>
              </w:rPr>
              <w:t>2.9</w:t>
            </w: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63E986" w14:textId="77777777" w:rsidR="00916856" w:rsidRPr="00312485" w:rsidRDefault="00916856" w:rsidP="00507FE7">
            <w:pPr>
              <w:ind w:firstLine="0"/>
              <w:jc w:val="center"/>
              <w:rPr>
                <w:color w:val="000000"/>
                <w:lang w:val="ro-MD" w:eastAsia="en-GB"/>
              </w:rPr>
            </w:pPr>
            <w:r w:rsidRPr="00312485">
              <w:rPr>
                <w:color w:val="000000"/>
                <w:lang w:val="ro-MD" w:eastAsia="en-GB"/>
              </w:rPr>
              <w:t>2.9</w:t>
            </w:r>
          </w:p>
        </w:tc>
        <w:tc>
          <w:tcPr>
            <w:tcW w:w="109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4F02BB3B" w14:textId="77777777" w:rsidR="00916856" w:rsidRPr="00312485" w:rsidRDefault="00916856" w:rsidP="00507FE7">
            <w:pPr>
              <w:ind w:firstLine="0"/>
              <w:jc w:val="center"/>
              <w:rPr>
                <w:color w:val="000000"/>
                <w:lang w:val="ro-MD" w:eastAsia="en-GB"/>
              </w:rPr>
            </w:pPr>
            <w:r w:rsidRPr="00312485">
              <w:rPr>
                <w:color w:val="000000"/>
                <w:lang w:val="ro-MD" w:eastAsia="en-GB"/>
              </w:rPr>
              <w:t>3.0</w:t>
            </w:r>
          </w:p>
        </w:tc>
        <w:tc>
          <w:tcPr>
            <w:tcW w:w="10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6D5A285" w14:textId="77777777" w:rsidR="00916856" w:rsidRPr="00312485" w:rsidRDefault="00916856" w:rsidP="00507FE7">
            <w:pPr>
              <w:ind w:firstLine="0"/>
              <w:jc w:val="center"/>
              <w:rPr>
                <w:color w:val="000000"/>
                <w:lang w:val="ro-MD" w:eastAsia="en-GB"/>
              </w:rPr>
            </w:pPr>
            <w:r w:rsidRPr="00312485">
              <w:rPr>
                <w:color w:val="000000"/>
                <w:lang w:val="ro-MD" w:eastAsia="en-GB"/>
              </w:rPr>
              <w:t>3.1</w:t>
            </w:r>
          </w:p>
        </w:tc>
      </w:tr>
      <w:tr w:rsidR="0063676F" w:rsidRPr="00312485" w14:paraId="61F92EFE" w14:textId="77777777" w:rsidTr="003E20DF">
        <w:trPr>
          <w:trHeight w:val="198"/>
        </w:trPr>
        <w:tc>
          <w:tcPr>
            <w:tcW w:w="816" w:type="dxa"/>
            <w:gridSpan w:val="2"/>
            <w:tcBorders>
              <w:top w:val="single" w:sz="4" w:space="0" w:color="auto"/>
              <w:left w:val="single" w:sz="4" w:space="0" w:color="auto"/>
              <w:bottom w:val="single" w:sz="4" w:space="0" w:color="auto"/>
            </w:tcBorders>
            <w:shd w:val="clear" w:color="000000" w:fill="FFFFFF"/>
            <w:vAlign w:val="center"/>
          </w:tcPr>
          <w:p w14:paraId="2E407118" w14:textId="77777777" w:rsidR="0063676F" w:rsidRPr="00312485" w:rsidRDefault="0063676F" w:rsidP="00507FE7">
            <w:pPr>
              <w:ind w:firstLine="0"/>
              <w:jc w:val="left"/>
              <w:rPr>
                <w:color w:val="000000"/>
                <w:lang w:val="ro-MD" w:eastAsia="en-GB"/>
              </w:rPr>
            </w:pPr>
          </w:p>
        </w:tc>
        <w:tc>
          <w:tcPr>
            <w:tcW w:w="1878" w:type="dxa"/>
            <w:tcBorders>
              <w:top w:val="single" w:sz="4" w:space="0" w:color="auto"/>
              <w:bottom w:val="single" w:sz="4" w:space="0" w:color="auto"/>
              <w:right w:val="single" w:sz="4" w:space="0" w:color="auto"/>
            </w:tcBorders>
            <w:shd w:val="clear" w:color="000000" w:fill="FFFFFF"/>
            <w:vAlign w:val="center"/>
          </w:tcPr>
          <w:p w14:paraId="793F7CC8" w14:textId="433B392F" w:rsidR="0063676F" w:rsidRPr="00312485" w:rsidRDefault="0063676F" w:rsidP="00507FE7">
            <w:pPr>
              <w:ind w:firstLine="0"/>
              <w:jc w:val="left"/>
              <w:rPr>
                <w:color w:val="000000"/>
                <w:lang w:val="ro-MD" w:eastAsia="en-GB"/>
              </w:rPr>
            </w:pPr>
            <w:r w:rsidRPr="00312485">
              <w:rPr>
                <w:color w:val="000000"/>
                <w:lang w:val="ro-MD" w:eastAsia="en-GB"/>
              </w:rPr>
              <w:t>Datoria internă</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3A30769" w14:textId="706F4C9B" w:rsidR="0063676F" w:rsidRPr="00312485" w:rsidRDefault="0063676F" w:rsidP="00507FE7">
            <w:pPr>
              <w:ind w:firstLine="0"/>
              <w:jc w:val="center"/>
              <w:rPr>
                <w:color w:val="000000"/>
                <w:lang w:val="ro-MD" w:eastAsia="en-GB"/>
              </w:rPr>
            </w:pPr>
            <w:r w:rsidRPr="00312485">
              <w:rPr>
                <w:color w:val="000000"/>
                <w:lang w:val="ro-MD" w:eastAsia="en-GB"/>
              </w:rPr>
              <w:t>6.5</w:t>
            </w:r>
          </w:p>
        </w:tc>
        <w:tc>
          <w:tcPr>
            <w:tcW w:w="8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05FF945" w14:textId="563206CA" w:rsidR="0063676F" w:rsidRPr="00312485" w:rsidRDefault="0063676F" w:rsidP="00507FE7">
            <w:pPr>
              <w:ind w:firstLine="0"/>
              <w:jc w:val="center"/>
              <w:rPr>
                <w:color w:val="000000"/>
                <w:lang w:val="ro-MD" w:eastAsia="en-GB"/>
              </w:rPr>
            </w:pPr>
            <w:r w:rsidRPr="00312485">
              <w:rPr>
                <w:color w:val="000000"/>
                <w:lang w:val="ro-MD" w:eastAsia="en-GB"/>
              </w:rPr>
              <w:t>3.9</w:t>
            </w:r>
          </w:p>
        </w:tc>
        <w:tc>
          <w:tcPr>
            <w:tcW w:w="939" w:type="dxa"/>
            <w:tcBorders>
              <w:top w:val="single" w:sz="4" w:space="0" w:color="auto"/>
              <w:left w:val="single" w:sz="4" w:space="0" w:color="auto"/>
              <w:bottom w:val="single" w:sz="4" w:space="0" w:color="auto"/>
              <w:right w:val="single" w:sz="4" w:space="0" w:color="auto"/>
            </w:tcBorders>
            <w:shd w:val="clear" w:color="000000" w:fill="FFFFFF"/>
            <w:vAlign w:val="center"/>
          </w:tcPr>
          <w:p w14:paraId="2CEAB9C3" w14:textId="60CBF525" w:rsidR="0063676F" w:rsidRPr="00312485" w:rsidRDefault="0063676F" w:rsidP="00507FE7">
            <w:pPr>
              <w:ind w:firstLine="0"/>
              <w:jc w:val="center"/>
              <w:rPr>
                <w:color w:val="000000"/>
                <w:lang w:val="ro-MD" w:eastAsia="en-GB"/>
              </w:rPr>
            </w:pPr>
            <w:r w:rsidRPr="00312485">
              <w:rPr>
                <w:color w:val="000000"/>
                <w:lang w:val="ro-MD" w:eastAsia="en-GB"/>
              </w:rPr>
              <w:t>3.7</w:t>
            </w:r>
          </w:p>
        </w:tc>
        <w:tc>
          <w:tcPr>
            <w:tcW w:w="10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3E544AF" w14:textId="1B4E90CF" w:rsidR="0063676F" w:rsidRPr="00312485" w:rsidRDefault="0063676F" w:rsidP="00507FE7">
            <w:pPr>
              <w:ind w:firstLine="0"/>
              <w:jc w:val="center"/>
              <w:rPr>
                <w:color w:val="000000"/>
                <w:lang w:val="ro-MD" w:eastAsia="en-GB"/>
              </w:rPr>
            </w:pPr>
            <w:r w:rsidRPr="00312485">
              <w:rPr>
                <w:color w:val="000000"/>
                <w:lang w:val="ro-MD" w:eastAsia="en-GB"/>
              </w:rPr>
              <w:t>3.8</w:t>
            </w: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88B50E" w14:textId="68419A27" w:rsidR="0063676F" w:rsidRPr="00312485" w:rsidRDefault="0063676F" w:rsidP="00507FE7">
            <w:pPr>
              <w:ind w:firstLine="0"/>
              <w:jc w:val="center"/>
              <w:rPr>
                <w:color w:val="000000"/>
                <w:lang w:val="ro-MD" w:eastAsia="en-GB"/>
              </w:rPr>
            </w:pPr>
            <w:r w:rsidRPr="00312485">
              <w:rPr>
                <w:color w:val="000000"/>
                <w:lang w:val="ro-MD" w:eastAsia="en-GB"/>
              </w:rPr>
              <w:t>4.9</w:t>
            </w:r>
          </w:p>
        </w:tc>
        <w:tc>
          <w:tcPr>
            <w:tcW w:w="109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096BEDE" w14:textId="21F8E603" w:rsidR="0063676F" w:rsidRPr="00312485" w:rsidRDefault="0063676F" w:rsidP="00507FE7">
            <w:pPr>
              <w:ind w:firstLine="0"/>
              <w:jc w:val="center"/>
              <w:rPr>
                <w:color w:val="000000"/>
                <w:lang w:val="ro-MD" w:eastAsia="en-GB"/>
              </w:rPr>
            </w:pPr>
            <w:r w:rsidRPr="00312485">
              <w:rPr>
                <w:color w:val="000000"/>
                <w:lang w:val="ro-MD" w:eastAsia="en-GB"/>
              </w:rPr>
              <w:t>5.0</w:t>
            </w:r>
          </w:p>
        </w:tc>
        <w:tc>
          <w:tcPr>
            <w:tcW w:w="102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22509E4" w14:textId="46FCCA94" w:rsidR="0063676F" w:rsidRPr="00312485" w:rsidRDefault="0063676F" w:rsidP="00507FE7">
            <w:pPr>
              <w:ind w:firstLine="0"/>
              <w:jc w:val="center"/>
              <w:rPr>
                <w:color w:val="000000"/>
                <w:lang w:val="ro-MD" w:eastAsia="en-GB"/>
              </w:rPr>
            </w:pPr>
            <w:r w:rsidRPr="00312485">
              <w:rPr>
                <w:color w:val="000000"/>
                <w:lang w:val="ro-MD" w:eastAsia="en-GB"/>
              </w:rPr>
              <w:t>4.7</w:t>
            </w:r>
          </w:p>
        </w:tc>
      </w:tr>
    </w:tbl>
    <w:p w14:paraId="2A06E398" w14:textId="44DA5B7F" w:rsidR="00916856" w:rsidRPr="00312485" w:rsidRDefault="001C7A10" w:rsidP="001C7A10">
      <w:pPr>
        <w:pStyle w:val="Table"/>
        <w:spacing w:before="0" w:line="240" w:lineRule="auto"/>
        <w:ind w:firstLine="720"/>
        <w:jc w:val="left"/>
        <w:rPr>
          <w:rFonts w:ascii="Times New Roman" w:hAnsi="Times New Roman"/>
          <w:b w:val="0"/>
          <w:sz w:val="28"/>
          <w:szCs w:val="28"/>
          <w:lang w:val="ro-MD"/>
        </w:rPr>
      </w:pPr>
      <w:r w:rsidRPr="00312485">
        <w:rPr>
          <w:rFonts w:ascii="Times New Roman" w:hAnsi="Times New Roman"/>
          <w:b w:val="0"/>
          <w:i/>
          <w:color w:val="000000"/>
          <w:sz w:val="18"/>
          <w:szCs w:val="18"/>
          <w:lang w:val="ro-MD" w:eastAsia="ro-RO"/>
        </w:rPr>
        <w:t>Sursa:  Ministerul Finanțelor</w:t>
      </w:r>
    </w:p>
    <w:bookmarkEnd w:id="0"/>
    <w:p w14:paraId="47A09980" w14:textId="77777777" w:rsidR="002D4458" w:rsidRPr="002D4458" w:rsidRDefault="002D4458" w:rsidP="002D4458">
      <w:pPr>
        <w:rPr>
          <w:lang w:val="ro-MD"/>
        </w:rPr>
      </w:pPr>
    </w:p>
    <w:p w14:paraId="300E89D8" w14:textId="4F6704F9" w:rsidR="00916856" w:rsidRPr="00312485" w:rsidRDefault="00916856" w:rsidP="00916856">
      <w:pPr>
        <w:pStyle w:val="Title1"/>
        <w:spacing w:before="0" w:after="0" w:line="240" w:lineRule="auto"/>
        <w:ind w:firstLine="720"/>
        <w:rPr>
          <w:rFonts w:ascii="Times New Roman" w:hAnsi="Times New Roman"/>
          <w:i/>
          <w:color w:val="auto"/>
          <w:sz w:val="24"/>
          <w:szCs w:val="24"/>
          <w:lang w:val="ro-MD"/>
        </w:rPr>
      </w:pPr>
      <w:r w:rsidRPr="00312485">
        <w:rPr>
          <w:rFonts w:ascii="Times New Roman" w:hAnsi="Times New Roman"/>
          <w:i/>
          <w:color w:val="auto"/>
          <w:sz w:val="24"/>
          <w:szCs w:val="24"/>
          <w:lang w:val="ro-MD"/>
        </w:rPr>
        <w:lastRenderedPageBreak/>
        <w:t>Garanțiile de stat</w:t>
      </w:r>
    </w:p>
    <w:p w14:paraId="38CADD50" w14:textId="77777777" w:rsidR="00916856" w:rsidRPr="00312485" w:rsidRDefault="00916856" w:rsidP="009E73C4">
      <w:pPr>
        <w:spacing w:before="120"/>
        <w:rPr>
          <w:i/>
          <w:sz w:val="24"/>
          <w:szCs w:val="24"/>
          <w:lang w:val="ro-MD"/>
        </w:rPr>
      </w:pPr>
      <w:r w:rsidRPr="00312485">
        <w:rPr>
          <w:i/>
          <w:sz w:val="24"/>
          <w:szCs w:val="24"/>
          <w:lang w:val="ro-MD"/>
        </w:rPr>
        <w:t>Garanții de stat interne</w:t>
      </w:r>
    </w:p>
    <w:p w14:paraId="59992898" w14:textId="45DB767E" w:rsidR="00916856" w:rsidRPr="00312485" w:rsidRDefault="00916856" w:rsidP="009E73C4">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 xml:space="preserve">Soldul garanțiilor de stat interne va corespunde exclusiv garanțiilor emise pentru creditele ipotecare acordate în cadrul Programului „Prima casă”. Conform prevederilor  Legii bugetului de stat pentru anul 2025, plafonul acestui sold nu va </w:t>
      </w:r>
      <w:r w:rsidR="009157E7" w:rsidRPr="00312485">
        <w:rPr>
          <w:rFonts w:ascii="Times New Roman" w:hAnsi="Times New Roman"/>
          <w:sz w:val="24"/>
          <w:szCs w:val="24"/>
          <w:lang w:val="ro-MD"/>
        </w:rPr>
        <w:t>depăși</w:t>
      </w:r>
      <w:r w:rsidRPr="00312485">
        <w:rPr>
          <w:rFonts w:ascii="Times New Roman" w:hAnsi="Times New Roman"/>
          <w:sz w:val="24"/>
          <w:szCs w:val="24"/>
          <w:lang w:val="ro-MD"/>
        </w:rPr>
        <w:t xml:space="preserve"> suma de 4</w:t>
      </w:r>
      <w:r w:rsidR="00F058EB" w:rsidRPr="00312485">
        <w:rPr>
          <w:rFonts w:ascii="Times New Roman" w:hAnsi="Times New Roman"/>
          <w:sz w:val="24"/>
          <w:szCs w:val="24"/>
          <w:lang w:val="ro-MD"/>
        </w:rPr>
        <w:t xml:space="preserve"> </w:t>
      </w:r>
      <w:r w:rsidRPr="00312485">
        <w:rPr>
          <w:rFonts w:ascii="Times New Roman" w:hAnsi="Times New Roman"/>
          <w:sz w:val="24"/>
          <w:szCs w:val="24"/>
          <w:lang w:val="ro-MD"/>
        </w:rPr>
        <w:t>900,0 mil</w:t>
      </w:r>
      <w:r w:rsidR="00E3097F" w:rsidRPr="00312485">
        <w:rPr>
          <w:rFonts w:ascii="Times New Roman" w:hAnsi="Times New Roman"/>
          <w:sz w:val="24"/>
          <w:szCs w:val="24"/>
          <w:lang w:val="ro-MD"/>
        </w:rPr>
        <w:t>.</w:t>
      </w:r>
      <w:r w:rsidRPr="00312485">
        <w:rPr>
          <w:rFonts w:ascii="Times New Roman" w:hAnsi="Times New Roman"/>
          <w:sz w:val="24"/>
          <w:szCs w:val="24"/>
          <w:lang w:val="ro-MD"/>
        </w:rPr>
        <w:t xml:space="preserve"> lei.</w:t>
      </w:r>
    </w:p>
    <w:p w14:paraId="63B72396" w14:textId="77777777" w:rsidR="00916856" w:rsidRPr="00312485" w:rsidRDefault="00916856" w:rsidP="009E73C4">
      <w:pPr>
        <w:pStyle w:val="Numberedtex"/>
        <w:numPr>
          <w:ilvl w:val="0"/>
          <w:numId w:val="0"/>
        </w:numPr>
        <w:spacing w:before="0" w:after="0" w:line="240" w:lineRule="auto"/>
        <w:ind w:firstLine="720"/>
        <w:rPr>
          <w:rFonts w:ascii="Times New Roman" w:hAnsi="Times New Roman"/>
          <w:sz w:val="24"/>
          <w:szCs w:val="24"/>
          <w:lang w:val="ro-MD"/>
        </w:rPr>
      </w:pPr>
      <w:r w:rsidRPr="00312485" w:rsidDel="006265F5">
        <w:rPr>
          <w:rFonts w:ascii="Times New Roman" w:hAnsi="Times New Roman"/>
          <w:sz w:val="24"/>
          <w:szCs w:val="24"/>
          <w:lang w:val="ro-MD"/>
        </w:rPr>
        <w:t xml:space="preserve"> </w:t>
      </w:r>
      <w:r w:rsidRPr="00312485">
        <w:rPr>
          <w:rFonts w:ascii="Times New Roman" w:hAnsi="Times New Roman"/>
          <w:sz w:val="24"/>
          <w:szCs w:val="24"/>
          <w:lang w:val="ro-MD"/>
        </w:rPr>
        <w:t xml:space="preserve">Pe termen mediu, evoluția soldului va depinde de nivelul cererii pentru credite ipotecare.  </w:t>
      </w:r>
    </w:p>
    <w:p w14:paraId="6D8BC2C5" w14:textId="77777777" w:rsidR="0057721C" w:rsidRPr="00312485" w:rsidRDefault="0057721C" w:rsidP="009E73C4">
      <w:pPr>
        <w:pStyle w:val="Numberedtex"/>
        <w:numPr>
          <w:ilvl w:val="0"/>
          <w:numId w:val="0"/>
        </w:numPr>
        <w:spacing w:before="0" w:after="0" w:line="240" w:lineRule="auto"/>
        <w:ind w:firstLine="720"/>
        <w:rPr>
          <w:rFonts w:ascii="Times New Roman" w:hAnsi="Times New Roman"/>
          <w:i/>
          <w:sz w:val="24"/>
          <w:szCs w:val="24"/>
          <w:lang w:val="ro-MD"/>
        </w:rPr>
      </w:pPr>
    </w:p>
    <w:p w14:paraId="7B6EE216" w14:textId="779D6DD7" w:rsidR="00916856" w:rsidRPr="00312485" w:rsidRDefault="00916856" w:rsidP="00916856">
      <w:pPr>
        <w:pStyle w:val="Numberedtex"/>
        <w:numPr>
          <w:ilvl w:val="0"/>
          <w:numId w:val="0"/>
        </w:numPr>
        <w:spacing w:before="0" w:after="0" w:line="240" w:lineRule="auto"/>
        <w:ind w:firstLine="720"/>
        <w:rPr>
          <w:rFonts w:ascii="Times New Roman" w:hAnsi="Times New Roman"/>
          <w:i/>
          <w:sz w:val="24"/>
          <w:szCs w:val="24"/>
          <w:lang w:val="ro-MD"/>
        </w:rPr>
      </w:pPr>
      <w:r w:rsidRPr="00312485">
        <w:rPr>
          <w:rFonts w:ascii="Times New Roman" w:hAnsi="Times New Roman"/>
          <w:i/>
          <w:sz w:val="24"/>
          <w:szCs w:val="24"/>
          <w:lang w:val="ro-MD"/>
        </w:rPr>
        <w:t>Garanții de stat externe</w:t>
      </w:r>
    </w:p>
    <w:p w14:paraId="67E47301" w14:textId="5E61791A" w:rsidR="00916856" w:rsidRPr="00312485" w:rsidRDefault="00916856" w:rsidP="00916856">
      <w:pPr>
        <w:rPr>
          <w:sz w:val="24"/>
          <w:szCs w:val="24"/>
          <w:lang w:val="ro-MD"/>
        </w:rPr>
      </w:pPr>
      <w:r w:rsidRPr="00312485">
        <w:rPr>
          <w:sz w:val="24"/>
          <w:szCs w:val="24"/>
          <w:lang w:val="ro-MD"/>
        </w:rPr>
        <w:t>În temeiul Legii nr. 162/2025 privind acordarea garanției de stat pentru împrumutul extern acordat S.A. ,,</w:t>
      </w:r>
      <w:proofErr w:type="spellStart"/>
      <w:r w:rsidRPr="00312485">
        <w:rPr>
          <w:sz w:val="24"/>
          <w:szCs w:val="24"/>
          <w:lang w:val="ro-MD"/>
        </w:rPr>
        <w:t>Energocom</w:t>
      </w:r>
      <w:proofErr w:type="spellEnd"/>
      <w:r w:rsidRPr="00312485">
        <w:rPr>
          <w:sz w:val="24"/>
          <w:szCs w:val="24"/>
          <w:lang w:val="ro-MD"/>
        </w:rPr>
        <w:t>” de către Banca Europeană pentru Reconstrucție și Dezvoltare, destinat realizării proiectului ,,Consolidarea securității energetice a Republicii Moldova”, la data de 8 iulie 2025 au fost semnate (i)</w:t>
      </w:r>
      <w:r w:rsidR="0080552A" w:rsidRPr="00312485">
        <w:rPr>
          <w:sz w:val="24"/>
          <w:szCs w:val="24"/>
          <w:lang w:val="ro-MD"/>
        </w:rPr>
        <w:t xml:space="preserve"> </w:t>
      </w:r>
      <w:r w:rsidRPr="00312485">
        <w:rPr>
          <w:sz w:val="24"/>
          <w:szCs w:val="24"/>
          <w:lang w:val="ro-MD"/>
        </w:rPr>
        <w:t>Contractul de garanție între Republica Moldova și Banca Europeană pentru Reconstrucție și Dezvoltare și (ii) Contractul de acordare a garanției de stat nr. 1 din 8 iulie 2025 între Ministerul Finanțelor și S.A. „</w:t>
      </w:r>
      <w:proofErr w:type="spellStart"/>
      <w:r w:rsidRPr="00312485">
        <w:rPr>
          <w:sz w:val="24"/>
          <w:szCs w:val="24"/>
          <w:lang w:val="ro-MD"/>
        </w:rPr>
        <w:t>Energocom</w:t>
      </w:r>
      <w:proofErr w:type="spellEnd"/>
      <w:r w:rsidRPr="00312485">
        <w:rPr>
          <w:sz w:val="24"/>
          <w:szCs w:val="24"/>
          <w:lang w:val="ro-MD"/>
        </w:rPr>
        <w:t>”. Prin acest contract, S.A. „</w:t>
      </w:r>
      <w:proofErr w:type="spellStart"/>
      <w:r w:rsidRPr="00312485">
        <w:rPr>
          <w:sz w:val="24"/>
          <w:szCs w:val="24"/>
          <w:lang w:val="ro-MD"/>
        </w:rPr>
        <w:t>Energocom</w:t>
      </w:r>
      <w:proofErr w:type="spellEnd"/>
      <w:r w:rsidRPr="00312485">
        <w:rPr>
          <w:sz w:val="24"/>
          <w:szCs w:val="24"/>
          <w:lang w:val="ro-MD"/>
        </w:rPr>
        <w:t xml:space="preserve">” beneficiază de o garanție de stat externă în sumă de 400,0 milioane euro. </w:t>
      </w:r>
    </w:p>
    <w:p w14:paraId="421CE7DF" w14:textId="77777777" w:rsidR="00916856" w:rsidRPr="00312485" w:rsidRDefault="00916856" w:rsidP="00916856">
      <w:pPr>
        <w:rPr>
          <w:sz w:val="24"/>
          <w:szCs w:val="24"/>
          <w:lang w:val="ro-MD"/>
        </w:rPr>
      </w:pPr>
      <w:r w:rsidRPr="00312485">
        <w:rPr>
          <w:sz w:val="24"/>
          <w:szCs w:val="24"/>
          <w:lang w:val="ro-MD"/>
        </w:rPr>
        <w:t>Conform Legii bugetului de stat pentru anul 2025 nr. 310/2024, plafonul soldului garanțiilor de stat externe este stabilit în valoare de 7840,0 milioane de lei (echivalentul a 400,0 milioane de euro).</w:t>
      </w:r>
    </w:p>
    <w:p w14:paraId="7136B107" w14:textId="7E00636A" w:rsidR="00916856" w:rsidRPr="00312485" w:rsidRDefault="00916856" w:rsidP="00D01E86">
      <w:pPr>
        <w:pStyle w:val="Title1"/>
        <w:spacing w:before="0" w:after="0" w:line="240" w:lineRule="auto"/>
        <w:ind w:firstLine="720"/>
        <w:rPr>
          <w:sz w:val="24"/>
          <w:szCs w:val="24"/>
          <w:lang w:val="ro-MD"/>
        </w:rPr>
      </w:pPr>
      <w:r w:rsidRPr="00312485">
        <w:rPr>
          <w:rFonts w:ascii="Times New Roman" w:hAnsi="Times New Roman"/>
          <w:b w:val="0"/>
          <w:color w:val="000000"/>
          <w:sz w:val="24"/>
          <w:szCs w:val="24"/>
          <w:shd w:val="clear" w:color="auto" w:fill="FFFFFF"/>
          <w:lang w:val="ro-MD"/>
        </w:rPr>
        <w:t>Pentru onorarea garanției de stat externe, pentru anul 2026 este planificată suma de 4 152,1 mil. lei. În eventualitatea activării garanției, este prevăzută restituirea integrală a mijloacelor utilizate pentru onorarea acesteia, prin încasările de la S.A. „</w:t>
      </w:r>
      <w:proofErr w:type="spellStart"/>
      <w:r w:rsidRPr="00312485">
        <w:rPr>
          <w:rFonts w:ascii="Times New Roman" w:hAnsi="Times New Roman"/>
          <w:b w:val="0"/>
          <w:color w:val="000000"/>
          <w:sz w:val="24"/>
          <w:szCs w:val="24"/>
          <w:shd w:val="clear" w:color="auto" w:fill="FFFFFF"/>
          <w:lang w:val="ro-MD"/>
        </w:rPr>
        <w:t>Energocom</w:t>
      </w:r>
      <w:proofErr w:type="spellEnd"/>
      <w:r w:rsidRPr="00312485">
        <w:rPr>
          <w:rFonts w:ascii="Times New Roman" w:hAnsi="Times New Roman"/>
          <w:b w:val="0"/>
          <w:color w:val="000000"/>
          <w:sz w:val="24"/>
          <w:szCs w:val="24"/>
          <w:shd w:val="clear" w:color="auto" w:fill="FFFFFF"/>
          <w:lang w:val="ro-MD"/>
        </w:rPr>
        <w:t>”, în aceeași sumă de 4 152,1 mil</w:t>
      </w:r>
      <w:r w:rsidR="00EC4E9A" w:rsidRPr="00312485">
        <w:rPr>
          <w:rFonts w:ascii="Times New Roman" w:hAnsi="Times New Roman"/>
          <w:b w:val="0"/>
          <w:color w:val="000000"/>
          <w:sz w:val="24"/>
          <w:szCs w:val="24"/>
          <w:shd w:val="clear" w:color="auto" w:fill="FFFFFF"/>
          <w:lang w:val="ro-MD"/>
        </w:rPr>
        <w:t xml:space="preserve">. </w:t>
      </w:r>
      <w:r w:rsidRPr="00312485">
        <w:rPr>
          <w:rFonts w:ascii="Times New Roman" w:hAnsi="Times New Roman"/>
          <w:b w:val="0"/>
          <w:color w:val="000000"/>
          <w:sz w:val="24"/>
          <w:szCs w:val="24"/>
          <w:shd w:val="clear" w:color="auto" w:fill="FFFFFF"/>
          <w:lang w:val="ro-MD"/>
        </w:rPr>
        <w:t>lei</w:t>
      </w:r>
      <w:r w:rsidR="00D01E86" w:rsidRPr="00312485">
        <w:rPr>
          <w:rFonts w:ascii="Times New Roman" w:hAnsi="Times New Roman"/>
          <w:b w:val="0"/>
          <w:color w:val="auto"/>
          <w:sz w:val="24"/>
          <w:szCs w:val="24"/>
          <w:shd w:val="clear" w:color="auto" w:fill="FFFFFF"/>
          <w:lang w:val="ro-MD"/>
        </w:rPr>
        <w:t xml:space="preserve">, </w:t>
      </w:r>
      <w:r w:rsidRPr="00312485">
        <w:rPr>
          <w:rFonts w:ascii="Times New Roman" w:hAnsi="Times New Roman"/>
          <w:b w:val="0"/>
          <w:color w:val="auto"/>
          <w:sz w:val="24"/>
          <w:szCs w:val="24"/>
          <w:lang w:val="ro-MD"/>
        </w:rPr>
        <w:t xml:space="preserve">soldul garanțiilor de stat externe </w:t>
      </w:r>
      <w:r w:rsidR="00D01E86" w:rsidRPr="00312485">
        <w:rPr>
          <w:rFonts w:ascii="Times New Roman" w:hAnsi="Times New Roman"/>
          <w:b w:val="0"/>
          <w:color w:val="auto"/>
          <w:sz w:val="24"/>
          <w:szCs w:val="24"/>
          <w:lang w:val="ro-MD"/>
        </w:rPr>
        <w:t>pentru anul 2026 fiind nul</w:t>
      </w:r>
      <w:r w:rsidRPr="00312485">
        <w:rPr>
          <w:rFonts w:ascii="Times New Roman" w:hAnsi="Times New Roman"/>
          <w:b w:val="0"/>
          <w:color w:val="auto"/>
          <w:sz w:val="24"/>
          <w:szCs w:val="24"/>
          <w:lang w:val="ro-MD"/>
        </w:rPr>
        <w:t>.</w:t>
      </w:r>
    </w:p>
    <w:p w14:paraId="5A325805" w14:textId="77777777" w:rsidR="00916856" w:rsidRPr="00312485" w:rsidRDefault="00916856" w:rsidP="00916856">
      <w:pPr>
        <w:rPr>
          <w:sz w:val="24"/>
          <w:szCs w:val="24"/>
          <w:lang w:val="ro-MD"/>
        </w:rPr>
      </w:pPr>
    </w:p>
    <w:p w14:paraId="5867A908" w14:textId="77777777" w:rsidR="00916856" w:rsidRPr="00312485" w:rsidRDefault="00916856" w:rsidP="00916856">
      <w:pPr>
        <w:pStyle w:val="Title1"/>
        <w:spacing w:before="0" w:after="0" w:line="240" w:lineRule="auto"/>
        <w:ind w:firstLine="720"/>
        <w:rPr>
          <w:rFonts w:asciiTheme="majorBidi" w:hAnsiTheme="majorBidi" w:cstheme="majorBidi"/>
          <w:i/>
          <w:color w:val="auto"/>
          <w:sz w:val="24"/>
          <w:szCs w:val="24"/>
          <w:lang w:val="ro-MD"/>
        </w:rPr>
      </w:pPr>
      <w:r w:rsidRPr="00312485">
        <w:rPr>
          <w:rFonts w:asciiTheme="majorBidi" w:hAnsiTheme="majorBidi" w:cstheme="majorBidi"/>
          <w:i/>
          <w:color w:val="auto"/>
          <w:sz w:val="24"/>
          <w:szCs w:val="24"/>
          <w:lang w:val="ro-MD"/>
        </w:rPr>
        <w:t>Recreditarea de stat</w:t>
      </w:r>
    </w:p>
    <w:p w14:paraId="1BCC835B" w14:textId="70C04A67" w:rsidR="00916856" w:rsidRPr="00312485" w:rsidRDefault="00916856" w:rsidP="00916856">
      <w:pPr>
        <w:pStyle w:val="Numberedtex"/>
        <w:numPr>
          <w:ilvl w:val="0"/>
          <w:numId w:val="0"/>
        </w:numPr>
        <w:spacing w:before="0" w:after="0" w:line="240" w:lineRule="auto"/>
        <w:ind w:firstLine="720"/>
        <w:rPr>
          <w:rFonts w:asciiTheme="majorBidi" w:hAnsiTheme="majorBidi" w:cstheme="majorBidi"/>
          <w:sz w:val="24"/>
          <w:szCs w:val="24"/>
          <w:lang w:val="ro-MD"/>
        </w:rPr>
      </w:pPr>
      <w:r w:rsidRPr="00312485">
        <w:rPr>
          <w:rFonts w:asciiTheme="majorBidi" w:hAnsiTheme="majorBidi" w:cstheme="majorBidi"/>
          <w:sz w:val="24"/>
          <w:szCs w:val="24"/>
          <w:lang w:val="ro-MD"/>
        </w:rPr>
        <w:t>Recreditarea de stat este estimată, pentru anul 2028, la 398,5 mil. lei (0,09 % din PIB) în diminuare cu 1 803,3 mil. față de anul 2025 sau cu 0,5 p</w:t>
      </w:r>
      <w:r w:rsidR="00EE0B32" w:rsidRPr="00312485">
        <w:rPr>
          <w:rFonts w:asciiTheme="majorBidi" w:hAnsiTheme="majorBidi" w:cstheme="majorBidi"/>
          <w:sz w:val="24"/>
          <w:szCs w:val="24"/>
          <w:lang w:val="ro-MD"/>
        </w:rPr>
        <w:t xml:space="preserve">uncte procentuale </w:t>
      </w:r>
      <w:r w:rsidRPr="00312485">
        <w:rPr>
          <w:rFonts w:asciiTheme="majorBidi" w:hAnsiTheme="majorBidi" w:cstheme="majorBidi"/>
          <w:sz w:val="24"/>
          <w:szCs w:val="24"/>
          <w:lang w:val="ro-MD"/>
        </w:rPr>
        <w:t>ca pondere în PIB. În structura mijloacelor financiare destinate recreditării în perioada 2026-2028, analizată pe  ramuri ale economiei naționale, ponderea majoră revine sectorului energetic și celui al transporturilor.</w:t>
      </w:r>
    </w:p>
    <w:p w14:paraId="6C781324" w14:textId="7C779F7B" w:rsidR="00916856" w:rsidRPr="00312485" w:rsidRDefault="00916856" w:rsidP="00916856">
      <w:pPr>
        <w:pStyle w:val="Table"/>
        <w:spacing w:before="0" w:line="240" w:lineRule="auto"/>
        <w:ind w:firstLine="720"/>
        <w:jc w:val="right"/>
        <w:rPr>
          <w:rFonts w:asciiTheme="majorBidi" w:hAnsiTheme="majorBidi" w:cstheme="majorBidi"/>
          <w:bCs/>
          <w:color w:val="auto"/>
          <w:sz w:val="22"/>
          <w:szCs w:val="24"/>
          <w:lang w:val="ro-MD"/>
        </w:rPr>
      </w:pPr>
      <w:bookmarkStart w:id="1" w:name="_Toc488614175"/>
      <w:r w:rsidRPr="00312485">
        <w:rPr>
          <w:rFonts w:asciiTheme="majorBidi" w:hAnsiTheme="majorBidi" w:cstheme="majorBidi"/>
          <w:bCs/>
          <w:color w:val="auto"/>
          <w:sz w:val="22"/>
          <w:szCs w:val="24"/>
          <w:lang w:val="ro-MD"/>
        </w:rPr>
        <w:t>Tabelul 3.</w:t>
      </w:r>
      <w:r w:rsidR="005F7EE9" w:rsidRPr="00312485">
        <w:rPr>
          <w:rFonts w:asciiTheme="majorBidi" w:hAnsiTheme="majorBidi" w:cstheme="majorBidi"/>
          <w:bCs/>
          <w:color w:val="auto"/>
          <w:sz w:val="22"/>
          <w:szCs w:val="24"/>
          <w:lang w:val="ro-MD"/>
        </w:rPr>
        <w:t>7</w:t>
      </w:r>
    </w:p>
    <w:p w14:paraId="55834BFB" w14:textId="77777777" w:rsidR="00916856" w:rsidRPr="00312485" w:rsidRDefault="00916856" w:rsidP="00916856">
      <w:pPr>
        <w:pStyle w:val="Table"/>
        <w:spacing w:before="0" w:line="240" w:lineRule="auto"/>
        <w:ind w:firstLine="720"/>
        <w:rPr>
          <w:rFonts w:ascii="Times New Roman" w:hAnsi="Times New Roman"/>
          <w:color w:val="auto"/>
          <w:sz w:val="24"/>
          <w:szCs w:val="24"/>
          <w:lang w:val="ro-MD"/>
        </w:rPr>
      </w:pPr>
      <w:r w:rsidRPr="00312485">
        <w:rPr>
          <w:rFonts w:ascii="Times New Roman" w:hAnsi="Times New Roman"/>
          <w:color w:val="auto"/>
          <w:sz w:val="28"/>
          <w:szCs w:val="28"/>
          <w:lang w:val="ro-MD"/>
        </w:rPr>
        <w:t xml:space="preserve"> </w:t>
      </w:r>
      <w:r w:rsidRPr="00312485">
        <w:rPr>
          <w:rFonts w:ascii="Times New Roman" w:hAnsi="Times New Roman"/>
          <w:color w:val="auto"/>
          <w:sz w:val="24"/>
          <w:szCs w:val="24"/>
          <w:lang w:val="ro-MD"/>
        </w:rPr>
        <w:t>Recreditarea</w:t>
      </w:r>
    </w:p>
    <w:p w14:paraId="2906B86C" w14:textId="77777777" w:rsidR="00916856" w:rsidRPr="00312485" w:rsidRDefault="00916856" w:rsidP="00916856">
      <w:pPr>
        <w:pStyle w:val="Table"/>
        <w:spacing w:before="0" w:line="240" w:lineRule="auto"/>
        <w:ind w:firstLine="720"/>
        <w:jc w:val="right"/>
        <w:rPr>
          <w:rFonts w:ascii="Times New Roman" w:hAnsi="Times New Roman"/>
          <w:b w:val="0"/>
          <w:szCs w:val="20"/>
          <w:lang w:val="ro-MD"/>
        </w:rPr>
      </w:pPr>
      <w:r w:rsidRPr="00312485">
        <w:rPr>
          <w:rFonts w:ascii="Times New Roman" w:hAnsi="Times New Roman"/>
          <w:b w:val="0"/>
          <w:szCs w:val="20"/>
          <w:lang w:val="ro-MD"/>
        </w:rPr>
        <w:t>(</w:t>
      </w:r>
      <w:r w:rsidRPr="00312485">
        <w:rPr>
          <w:rFonts w:ascii="Times New Roman" w:hAnsi="Times New Roman"/>
          <w:b w:val="0"/>
          <w:color w:val="000000"/>
          <w:szCs w:val="20"/>
          <w:lang w:val="ro-MD" w:eastAsia="ro-RO"/>
        </w:rPr>
        <w:t>% din PIB)</w:t>
      </w:r>
    </w:p>
    <w:tbl>
      <w:tblPr>
        <w:tblW w:w="5000" w:type="pct"/>
        <w:tblLayout w:type="fixed"/>
        <w:tblLook w:val="04A0" w:firstRow="1" w:lastRow="0" w:firstColumn="1" w:lastColumn="0" w:noHBand="0" w:noVBand="1"/>
      </w:tblPr>
      <w:tblGrid>
        <w:gridCol w:w="2686"/>
        <w:gridCol w:w="863"/>
        <w:gridCol w:w="739"/>
        <w:gridCol w:w="864"/>
        <w:gridCol w:w="987"/>
        <w:gridCol w:w="987"/>
        <w:gridCol w:w="994"/>
        <w:gridCol w:w="999"/>
      </w:tblGrid>
      <w:tr w:rsidR="0057721C" w:rsidRPr="00312485" w14:paraId="5DA600AB" w14:textId="77777777" w:rsidTr="00C6128E">
        <w:trPr>
          <w:trHeight w:val="300"/>
        </w:trPr>
        <w:tc>
          <w:tcPr>
            <w:tcW w:w="1473" w:type="pct"/>
            <w:vMerge w:val="restart"/>
            <w:tcBorders>
              <w:top w:val="single" w:sz="4" w:space="0" w:color="auto"/>
              <w:left w:val="single" w:sz="4" w:space="0" w:color="auto"/>
              <w:right w:val="nil"/>
            </w:tcBorders>
            <w:shd w:val="clear" w:color="auto" w:fill="auto"/>
            <w:noWrap/>
            <w:vAlign w:val="bottom"/>
            <w:hideMark/>
          </w:tcPr>
          <w:p w14:paraId="13BC5F61" w14:textId="04F2B397" w:rsidR="0057721C" w:rsidRPr="00312485" w:rsidRDefault="0057721C" w:rsidP="00507FE7">
            <w:pPr>
              <w:ind w:firstLine="0"/>
              <w:jc w:val="center"/>
              <w:rPr>
                <w:b/>
                <w:bCs/>
                <w:color w:val="000000"/>
                <w:lang w:val="ro-MD" w:eastAsia="ro-RO"/>
              </w:rPr>
            </w:pPr>
            <w:r w:rsidRPr="00312485">
              <w:rPr>
                <w:b/>
                <w:bCs/>
                <w:color w:val="000000"/>
                <w:sz w:val="28"/>
                <w:szCs w:val="28"/>
                <w:lang w:val="ro-MD" w:eastAsia="ro-RO"/>
              </w:rPr>
              <w:t> </w:t>
            </w:r>
          </w:p>
          <w:p w14:paraId="19FF8036" w14:textId="3CA3CDF3" w:rsidR="0057721C" w:rsidRPr="00312485" w:rsidRDefault="0057721C" w:rsidP="00507FE7">
            <w:pPr>
              <w:ind w:firstLine="0"/>
              <w:jc w:val="center"/>
              <w:rPr>
                <w:color w:val="000000"/>
                <w:lang w:val="ro-MD" w:eastAsia="ro-RO"/>
              </w:rPr>
            </w:pPr>
            <w:r w:rsidRPr="00312485">
              <w:rPr>
                <w:b/>
                <w:bCs/>
                <w:color w:val="000000"/>
                <w:lang w:val="ro-MD" w:eastAsia="ro-RO"/>
              </w:rPr>
              <w:t> </w:t>
            </w:r>
          </w:p>
        </w:tc>
        <w:tc>
          <w:tcPr>
            <w:tcW w:w="473" w:type="pct"/>
            <w:tcBorders>
              <w:top w:val="single" w:sz="4" w:space="0" w:color="auto"/>
              <w:left w:val="nil"/>
              <w:bottom w:val="nil"/>
              <w:right w:val="nil"/>
            </w:tcBorders>
            <w:shd w:val="clear" w:color="auto" w:fill="auto"/>
            <w:noWrap/>
            <w:vAlign w:val="bottom"/>
            <w:hideMark/>
          </w:tcPr>
          <w:p w14:paraId="79E65667"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2023</w:t>
            </w:r>
          </w:p>
        </w:tc>
        <w:tc>
          <w:tcPr>
            <w:tcW w:w="405" w:type="pct"/>
            <w:tcBorders>
              <w:top w:val="single" w:sz="4" w:space="0" w:color="auto"/>
              <w:left w:val="nil"/>
              <w:bottom w:val="nil"/>
              <w:right w:val="nil"/>
            </w:tcBorders>
            <w:shd w:val="clear" w:color="auto" w:fill="auto"/>
            <w:noWrap/>
            <w:vAlign w:val="bottom"/>
            <w:hideMark/>
          </w:tcPr>
          <w:p w14:paraId="148DB5DE"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2024</w:t>
            </w:r>
          </w:p>
        </w:tc>
        <w:tc>
          <w:tcPr>
            <w:tcW w:w="474" w:type="pct"/>
            <w:tcBorders>
              <w:top w:val="single" w:sz="4" w:space="0" w:color="auto"/>
              <w:left w:val="nil"/>
              <w:bottom w:val="nil"/>
              <w:right w:val="nil"/>
            </w:tcBorders>
            <w:shd w:val="clear" w:color="auto" w:fill="auto"/>
            <w:noWrap/>
            <w:vAlign w:val="bottom"/>
            <w:hideMark/>
          </w:tcPr>
          <w:p w14:paraId="1B86B049"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2025</w:t>
            </w:r>
          </w:p>
        </w:tc>
        <w:tc>
          <w:tcPr>
            <w:tcW w:w="541" w:type="pct"/>
            <w:tcBorders>
              <w:top w:val="single" w:sz="4" w:space="0" w:color="auto"/>
              <w:left w:val="nil"/>
              <w:bottom w:val="nil"/>
              <w:right w:val="nil"/>
            </w:tcBorders>
            <w:shd w:val="clear" w:color="auto" w:fill="auto"/>
            <w:vAlign w:val="bottom"/>
          </w:tcPr>
          <w:p w14:paraId="1925A18F"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2025</w:t>
            </w:r>
          </w:p>
        </w:tc>
        <w:tc>
          <w:tcPr>
            <w:tcW w:w="541" w:type="pct"/>
            <w:tcBorders>
              <w:top w:val="single" w:sz="4" w:space="0" w:color="auto"/>
              <w:left w:val="nil"/>
              <w:bottom w:val="nil"/>
              <w:right w:val="nil"/>
            </w:tcBorders>
            <w:shd w:val="clear" w:color="auto" w:fill="auto"/>
            <w:noWrap/>
            <w:vAlign w:val="bottom"/>
            <w:hideMark/>
          </w:tcPr>
          <w:p w14:paraId="53B3B7E6"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2026</w:t>
            </w:r>
          </w:p>
        </w:tc>
        <w:tc>
          <w:tcPr>
            <w:tcW w:w="545" w:type="pct"/>
            <w:tcBorders>
              <w:top w:val="single" w:sz="4" w:space="0" w:color="auto"/>
              <w:left w:val="nil"/>
              <w:bottom w:val="nil"/>
              <w:right w:val="nil"/>
            </w:tcBorders>
            <w:shd w:val="clear" w:color="auto" w:fill="auto"/>
            <w:noWrap/>
            <w:vAlign w:val="bottom"/>
            <w:hideMark/>
          </w:tcPr>
          <w:p w14:paraId="30A2E14D"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2027</w:t>
            </w:r>
          </w:p>
        </w:tc>
        <w:tc>
          <w:tcPr>
            <w:tcW w:w="548" w:type="pct"/>
            <w:tcBorders>
              <w:top w:val="single" w:sz="4" w:space="0" w:color="auto"/>
              <w:left w:val="nil"/>
              <w:bottom w:val="nil"/>
              <w:right w:val="single" w:sz="4" w:space="0" w:color="auto"/>
            </w:tcBorders>
            <w:shd w:val="clear" w:color="auto" w:fill="auto"/>
            <w:noWrap/>
            <w:vAlign w:val="bottom"/>
            <w:hideMark/>
          </w:tcPr>
          <w:p w14:paraId="73AA0C47" w14:textId="77777777" w:rsidR="0057721C" w:rsidRPr="00312485" w:rsidRDefault="0057721C" w:rsidP="00507FE7">
            <w:pPr>
              <w:ind w:firstLine="0"/>
              <w:jc w:val="center"/>
              <w:rPr>
                <w:b/>
                <w:bCs/>
                <w:color w:val="000000"/>
                <w:lang w:val="ro-MD" w:eastAsia="ro-RO"/>
              </w:rPr>
            </w:pPr>
            <w:r w:rsidRPr="00312485">
              <w:rPr>
                <w:b/>
                <w:bCs/>
                <w:color w:val="000000"/>
                <w:lang w:val="ro-MD" w:eastAsia="ro-RO"/>
              </w:rPr>
              <w:t>2028</w:t>
            </w:r>
          </w:p>
        </w:tc>
      </w:tr>
      <w:tr w:rsidR="0057721C" w:rsidRPr="00312485" w14:paraId="4A733258" w14:textId="77777777" w:rsidTr="00C6128E">
        <w:trPr>
          <w:trHeight w:val="270"/>
        </w:trPr>
        <w:tc>
          <w:tcPr>
            <w:tcW w:w="1473" w:type="pct"/>
            <w:vMerge/>
            <w:tcBorders>
              <w:left w:val="single" w:sz="4" w:space="0" w:color="auto"/>
              <w:bottom w:val="single" w:sz="4" w:space="0" w:color="auto"/>
              <w:right w:val="nil"/>
            </w:tcBorders>
            <w:shd w:val="clear" w:color="auto" w:fill="auto"/>
            <w:noWrap/>
            <w:vAlign w:val="bottom"/>
            <w:hideMark/>
          </w:tcPr>
          <w:p w14:paraId="6B464567" w14:textId="37CA22D8" w:rsidR="0057721C" w:rsidRPr="00312485" w:rsidRDefault="0057721C" w:rsidP="00507FE7">
            <w:pPr>
              <w:ind w:firstLine="0"/>
              <w:jc w:val="center"/>
              <w:rPr>
                <w:b/>
                <w:bCs/>
                <w:color w:val="000000"/>
                <w:lang w:val="ro-MD" w:eastAsia="ro-RO"/>
              </w:rPr>
            </w:pPr>
          </w:p>
        </w:tc>
        <w:tc>
          <w:tcPr>
            <w:tcW w:w="473" w:type="pct"/>
            <w:tcBorders>
              <w:top w:val="nil"/>
              <w:left w:val="nil"/>
              <w:bottom w:val="single" w:sz="4" w:space="0" w:color="auto"/>
              <w:right w:val="nil"/>
            </w:tcBorders>
            <w:shd w:val="clear" w:color="auto" w:fill="auto"/>
            <w:noWrap/>
            <w:vAlign w:val="bottom"/>
            <w:hideMark/>
          </w:tcPr>
          <w:p w14:paraId="01E17935" w14:textId="77777777" w:rsidR="0057721C" w:rsidRPr="00312485" w:rsidRDefault="0057721C" w:rsidP="00507FE7">
            <w:pPr>
              <w:ind w:firstLine="0"/>
              <w:jc w:val="center"/>
              <w:rPr>
                <w:b/>
                <w:bCs/>
                <w:color w:val="000000"/>
                <w:sz w:val="18"/>
                <w:szCs w:val="18"/>
                <w:lang w:val="ro-MD" w:eastAsia="ro-RO"/>
              </w:rPr>
            </w:pPr>
            <w:r w:rsidRPr="00312485">
              <w:rPr>
                <w:b/>
                <w:bCs/>
                <w:color w:val="000000"/>
                <w:sz w:val="18"/>
                <w:szCs w:val="18"/>
                <w:lang w:val="ro-MD" w:eastAsia="ro-RO"/>
              </w:rPr>
              <w:t>Efectiv</w:t>
            </w:r>
          </w:p>
        </w:tc>
        <w:tc>
          <w:tcPr>
            <w:tcW w:w="405" w:type="pct"/>
            <w:tcBorders>
              <w:top w:val="nil"/>
              <w:left w:val="nil"/>
              <w:bottom w:val="single" w:sz="4" w:space="0" w:color="auto"/>
              <w:right w:val="nil"/>
            </w:tcBorders>
            <w:shd w:val="clear" w:color="auto" w:fill="auto"/>
            <w:noWrap/>
            <w:vAlign w:val="bottom"/>
            <w:hideMark/>
          </w:tcPr>
          <w:p w14:paraId="41F3923D" w14:textId="77777777" w:rsidR="0057721C" w:rsidRPr="00312485" w:rsidRDefault="0057721C" w:rsidP="006F54A8">
            <w:pPr>
              <w:ind w:left="-112" w:firstLine="0"/>
              <w:jc w:val="center"/>
              <w:rPr>
                <w:b/>
                <w:bCs/>
                <w:color w:val="000000"/>
                <w:sz w:val="18"/>
                <w:szCs w:val="18"/>
                <w:lang w:val="ro-MD" w:eastAsia="ro-RO"/>
              </w:rPr>
            </w:pPr>
            <w:r w:rsidRPr="00312485">
              <w:rPr>
                <w:b/>
                <w:bCs/>
                <w:color w:val="000000"/>
                <w:sz w:val="18"/>
                <w:szCs w:val="18"/>
                <w:lang w:val="ro-MD" w:eastAsia="ro-RO"/>
              </w:rPr>
              <w:t>Efectiv</w:t>
            </w:r>
          </w:p>
        </w:tc>
        <w:tc>
          <w:tcPr>
            <w:tcW w:w="474" w:type="pct"/>
            <w:tcBorders>
              <w:top w:val="nil"/>
              <w:left w:val="nil"/>
              <w:bottom w:val="single" w:sz="4" w:space="0" w:color="auto"/>
              <w:right w:val="nil"/>
            </w:tcBorders>
            <w:shd w:val="clear" w:color="auto" w:fill="auto"/>
            <w:noWrap/>
            <w:vAlign w:val="bottom"/>
            <w:hideMark/>
          </w:tcPr>
          <w:p w14:paraId="383DF98B" w14:textId="77777777" w:rsidR="0057721C" w:rsidRPr="00312485" w:rsidRDefault="0057721C" w:rsidP="006F54A8">
            <w:pPr>
              <w:ind w:left="-142" w:firstLine="0"/>
              <w:jc w:val="center"/>
              <w:rPr>
                <w:b/>
                <w:bCs/>
                <w:color w:val="000000"/>
                <w:sz w:val="18"/>
                <w:szCs w:val="18"/>
                <w:lang w:val="ro-MD" w:eastAsia="ro-RO"/>
              </w:rPr>
            </w:pPr>
            <w:r w:rsidRPr="00312485">
              <w:rPr>
                <w:b/>
                <w:bCs/>
                <w:color w:val="000000"/>
                <w:sz w:val="18"/>
                <w:szCs w:val="18"/>
                <w:lang w:val="ro-MD" w:eastAsia="ro-RO"/>
              </w:rPr>
              <w:t>Aprobat</w:t>
            </w:r>
          </w:p>
        </w:tc>
        <w:tc>
          <w:tcPr>
            <w:tcW w:w="541" w:type="pct"/>
            <w:tcBorders>
              <w:top w:val="nil"/>
              <w:left w:val="nil"/>
              <w:bottom w:val="single" w:sz="4" w:space="0" w:color="auto"/>
              <w:right w:val="nil"/>
            </w:tcBorders>
            <w:shd w:val="clear" w:color="auto" w:fill="auto"/>
            <w:vAlign w:val="bottom"/>
          </w:tcPr>
          <w:p w14:paraId="3C9B09A3" w14:textId="77777777" w:rsidR="0057721C" w:rsidRPr="00312485" w:rsidRDefault="0057721C" w:rsidP="00507FE7">
            <w:pPr>
              <w:ind w:firstLine="0"/>
              <w:jc w:val="center"/>
              <w:rPr>
                <w:b/>
                <w:bCs/>
                <w:color w:val="000000"/>
                <w:sz w:val="18"/>
                <w:szCs w:val="18"/>
                <w:lang w:val="ro-MD" w:eastAsia="ro-RO"/>
              </w:rPr>
            </w:pPr>
            <w:r w:rsidRPr="00312485">
              <w:rPr>
                <w:b/>
                <w:bCs/>
                <w:color w:val="000000"/>
                <w:sz w:val="18"/>
                <w:szCs w:val="18"/>
                <w:lang w:val="ro-MD" w:eastAsia="ro-RO"/>
              </w:rPr>
              <w:t>Modificat</w:t>
            </w:r>
          </w:p>
        </w:tc>
        <w:tc>
          <w:tcPr>
            <w:tcW w:w="541" w:type="pct"/>
            <w:tcBorders>
              <w:top w:val="nil"/>
              <w:left w:val="nil"/>
              <w:bottom w:val="single" w:sz="4" w:space="0" w:color="auto"/>
              <w:right w:val="nil"/>
            </w:tcBorders>
            <w:shd w:val="clear" w:color="auto" w:fill="auto"/>
            <w:noWrap/>
            <w:vAlign w:val="bottom"/>
            <w:hideMark/>
          </w:tcPr>
          <w:p w14:paraId="22CD7846" w14:textId="77777777" w:rsidR="0057721C" w:rsidRPr="00312485" w:rsidRDefault="0057721C" w:rsidP="006F54A8">
            <w:pPr>
              <w:ind w:left="-13" w:right="-64" w:firstLine="0"/>
              <w:jc w:val="center"/>
              <w:rPr>
                <w:b/>
                <w:bCs/>
                <w:color w:val="000000"/>
                <w:sz w:val="18"/>
                <w:szCs w:val="18"/>
                <w:lang w:val="ro-MD" w:eastAsia="ro-RO"/>
              </w:rPr>
            </w:pPr>
            <w:r w:rsidRPr="00312485">
              <w:rPr>
                <w:b/>
                <w:bCs/>
                <w:color w:val="000000"/>
                <w:sz w:val="18"/>
                <w:szCs w:val="18"/>
                <w:lang w:val="ro-MD" w:eastAsia="ro-RO"/>
              </w:rPr>
              <w:t>Prognozat</w:t>
            </w:r>
          </w:p>
        </w:tc>
        <w:tc>
          <w:tcPr>
            <w:tcW w:w="545" w:type="pct"/>
            <w:tcBorders>
              <w:top w:val="nil"/>
              <w:left w:val="nil"/>
              <w:bottom w:val="single" w:sz="4" w:space="0" w:color="auto"/>
              <w:right w:val="nil"/>
            </w:tcBorders>
            <w:shd w:val="clear" w:color="auto" w:fill="auto"/>
            <w:noWrap/>
            <w:vAlign w:val="bottom"/>
            <w:hideMark/>
          </w:tcPr>
          <w:p w14:paraId="3F8BE8E6" w14:textId="77777777" w:rsidR="0057721C" w:rsidRPr="00312485" w:rsidRDefault="0057721C" w:rsidP="006F54A8">
            <w:pPr>
              <w:ind w:right="-66" w:firstLine="0"/>
              <w:jc w:val="center"/>
              <w:rPr>
                <w:b/>
                <w:bCs/>
                <w:color w:val="000000"/>
                <w:sz w:val="18"/>
                <w:szCs w:val="18"/>
                <w:lang w:val="ro-MD" w:eastAsia="ro-RO"/>
              </w:rPr>
            </w:pPr>
            <w:r w:rsidRPr="00312485">
              <w:rPr>
                <w:b/>
                <w:bCs/>
                <w:color w:val="000000"/>
                <w:sz w:val="18"/>
                <w:szCs w:val="18"/>
                <w:lang w:val="ro-MD" w:eastAsia="ro-RO"/>
              </w:rPr>
              <w:t>Prognozat</w:t>
            </w:r>
          </w:p>
        </w:tc>
        <w:tc>
          <w:tcPr>
            <w:tcW w:w="548" w:type="pct"/>
            <w:tcBorders>
              <w:top w:val="nil"/>
              <w:left w:val="nil"/>
              <w:bottom w:val="single" w:sz="4" w:space="0" w:color="auto"/>
              <w:right w:val="single" w:sz="4" w:space="0" w:color="auto"/>
            </w:tcBorders>
            <w:shd w:val="clear" w:color="auto" w:fill="auto"/>
            <w:noWrap/>
            <w:vAlign w:val="bottom"/>
            <w:hideMark/>
          </w:tcPr>
          <w:p w14:paraId="7572A6BA" w14:textId="77777777" w:rsidR="0057721C" w:rsidRPr="00312485" w:rsidRDefault="0057721C" w:rsidP="006F54A8">
            <w:pPr>
              <w:ind w:right="-57" w:firstLine="0"/>
              <w:jc w:val="center"/>
              <w:rPr>
                <w:b/>
                <w:bCs/>
                <w:color w:val="000000"/>
                <w:sz w:val="18"/>
                <w:szCs w:val="18"/>
                <w:lang w:val="ro-MD" w:eastAsia="ro-RO"/>
              </w:rPr>
            </w:pPr>
            <w:r w:rsidRPr="00312485">
              <w:rPr>
                <w:b/>
                <w:bCs/>
                <w:color w:val="000000"/>
                <w:sz w:val="18"/>
                <w:szCs w:val="18"/>
                <w:lang w:val="ro-MD" w:eastAsia="ro-RO"/>
              </w:rPr>
              <w:t>Prognozat</w:t>
            </w:r>
          </w:p>
        </w:tc>
      </w:tr>
      <w:tr w:rsidR="00916856" w:rsidRPr="00312485" w14:paraId="37347AD8" w14:textId="77777777" w:rsidTr="00C6128E">
        <w:trPr>
          <w:trHeight w:val="395"/>
        </w:trPr>
        <w:tc>
          <w:tcPr>
            <w:tcW w:w="1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20C3A" w14:textId="77777777" w:rsidR="00916856" w:rsidRPr="00312485" w:rsidRDefault="00916856" w:rsidP="00507FE7">
            <w:pPr>
              <w:ind w:firstLine="0"/>
              <w:jc w:val="left"/>
              <w:rPr>
                <w:color w:val="000000"/>
                <w:lang w:val="ro-MD" w:eastAsia="ro-RO"/>
              </w:rPr>
            </w:pPr>
            <w:r w:rsidRPr="00312485">
              <w:rPr>
                <w:color w:val="000000"/>
                <w:lang w:val="ro-MD" w:eastAsia="ro-RO"/>
              </w:rPr>
              <w:t>Recreditarea întreprinderilor de stat (pentru proiecte de investiții)</w:t>
            </w: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BD47A" w14:textId="77777777" w:rsidR="00916856" w:rsidRPr="00312485" w:rsidRDefault="00916856" w:rsidP="00377038">
            <w:pPr>
              <w:ind w:firstLine="0"/>
              <w:jc w:val="center"/>
              <w:rPr>
                <w:color w:val="000000"/>
                <w:lang w:val="ro-MD" w:eastAsia="ro-RO"/>
              </w:rPr>
            </w:pPr>
            <w:r w:rsidRPr="00312485">
              <w:rPr>
                <w:color w:val="000000"/>
                <w:lang w:val="ro-MD" w:eastAsia="ro-RO"/>
              </w:rPr>
              <w:t>1,7</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2A22" w14:textId="77777777" w:rsidR="00916856" w:rsidRPr="00312485" w:rsidRDefault="00916856" w:rsidP="00377038">
            <w:pPr>
              <w:ind w:firstLine="0"/>
              <w:jc w:val="center"/>
              <w:rPr>
                <w:color w:val="000000"/>
                <w:lang w:val="ro-MD" w:eastAsia="ro-RO"/>
              </w:rPr>
            </w:pPr>
            <w:r w:rsidRPr="00312485">
              <w:rPr>
                <w:color w:val="000000"/>
                <w:lang w:val="ro-MD" w:eastAsia="ro-RO"/>
              </w:rPr>
              <w:t>1,44</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41DB5" w14:textId="77777777" w:rsidR="00916856" w:rsidRPr="00312485" w:rsidRDefault="00916856" w:rsidP="00377038">
            <w:pPr>
              <w:ind w:firstLine="0"/>
              <w:jc w:val="center"/>
              <w:rPr>
                <w:color w:val="000000"/>
                <w:lang w:val="ro-MD" w:eastAsia="ro-RO"/>
              </w:rPr>
            </w:pPr>
            <w:r w:rsidRPr="00312485">
              <w:rPr>
                <w:color w:val="000000"/>
                <w:lang w:val="ro-MD" w:eastAsia="ro-RO"/>
              </w:rPr>
              <w:t>0,5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A84B446" w14:textId="77777777" w:rsidR="00916856" w:rsidRPr="00312485" w:rsidRDefault="00916856" w:rsidP="00377038">
            <w:pPr>
              <w:ind w:firstLine="0"/>
              <w:jc w:val="center"/>
              <w:rPr>
                <w:color w:val="000000"/>
                <w:lang w:val="ro-MD" w:eastAsia="ro-RO"/>
              </w:rPr>
            </w:pPr>
            <w:r w:rsidRPr="00312485">
              <w:rPr>
                <w:color w:val="000000"/>
                <w:lang w:val="ro-MD" w:eastAsia="ro-RO"/>
              </w:rPr>
              <w:t>0,6</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49D4C" w14:textId="77777777" w:rsidR="00916856" w:rsidRPr="00312485" w:rsidRDefault="00916856" w:rsidP="00377038">
            <w:pPr>
              <w:ind w:firstLine="0"/>
              <w:jc w:val="center"/>
              <w:rPr>
                <w:color w:val="000000"/>
                <w:lang w:val="ro-MD" w:eastAsia="ro-RO"/>
              </w:rPr>
            </w:pPr>
            <w:r w:rsidRPr="00312485">
              <w:rPr>
                <w:color w:val="000000"/>
                <w:lang w:val="ro-MD" w:eastAsia="ro-RO"/>
              </w:rPr>
              <w:t>0,65</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4B79" w14:textId="77777777" w:rsidR="00916856" w:rsidRPr="00312485" w:rsidRDefault="00916856" w:rsidP="00377038">
            <w:pPr>
              <w:ind w:firstLine="0"/>
              <w:jc w:val="center"/>
              <w:rPr>
                <w:color w:val="000000"/>
                <w:lang w:val="ro-MD" w:eastAsia="ro-RO"/>
              </w:rPr>
            </w:pPr>
            <w:r w:rsidRPr="00312485">
              <w:rPr>
                <w:color w:val="000000"/>
                <w:lang w:val="ro-MD" w:eastAsia="ro-RO"/>
              </w:rPr>
              <w:t>0,5</w:t>
            </w: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312C8" w14:textId="77777777" w:rsidR="00916856" w:rsidRPr="00312485" w:rsidRDefault="00916856" w:rsidP="00377038">
            <w:pPr>
              <w:ind w:firstLine="0"/>
              <w:jc w:val="center"/>
              <w:rPr>
                <w:color w:val="000000"/>
                <w:lang w:val="ro-MD" w:eastAsia="ro-RO"/>
              </w:rPr>
            </w:pPr>
            <w:r w:rsidRPr="00312485">
              <w:rPr>
                <w:color w:val="000000"/>
                <w:lang w:val="ro-MD" w:eastAsia="ro-RO"/>
              </w:rPr>
              <w:t>0,09</w:t>
            </w:r>
          </w:p>
        </w:tc>
      </w:tr>
      <w:tr w:rsidR="00916856" w:rsidRPr="00312485" w14:paraId="7BC69DA1" w14:textId="77777777" w:rsidTr="00C6128E">
        <w:trPr>
          <w:trHeight w:val="420"/>
        </w:trPr>
        <w:tc>
          <w:tcPr>
            <w:tcW w:w="1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9716E" w14:textId="77777777" w:rsidR="00916856" w:rsidRPr="00312485" w:rsidRDefault="00916856" w:rsidP="00507FE7">
            <w:pPr>
              <w:ind w:firstLine="0"/>
              <w:jc w:val="left"/>
              <w:rPr>
                <w:color w:val="000000"/>
                <w:lang w:val="ro-MD" w:eastAsia="ro-RO"/>
              </w:rPr>
            </w:pPr>
            <w:r w:rsidRPr="00312485">
              <w:rPr>
                <w:color w:val="000000"/>
                <w:lang w:val="ro-MD" w:eastAsia="ro-RO"/>
              </w:rPr>
              <w:t>Recreditarea sectorului privat</w:t>
            </w: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1754F" w14:textId="77777777" w:rsidR="00916856" w:rsidRPr="00312485" w:rsidRDefault="00916856" w:rsidP="00377038">
            <w:pPr>
              <w:ind w:firstLine="0"/>
              <w:jc w:val="center"/>
              <w:rPr>
                <w:color w:val="000000"/>
                <w:lang w:val="ro-MD" w:eastAsia="ro-RO"/>
              </w:rPr>
            </w:pPr>
            <w:r w:rsidRPr="00312485">
              <w:rPr>
                <w:color w:val="000000"/>
                <w:lang w:val="ro-MD" w:eastAsia="ro-RO"/>
              </w:rPr>
              <w:t>0,1</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245A" w14:textId="77777777" w:rsidR="00916856" w:rsidRPr="00312485" w:rsidRDefault="00916856" w:rsidP="00377038">
            <w:pPr>
              <w:ind w:firstLine="0"/>
              <w:jc w:val="center"/>
              <w:rPr>
                <w:color w:val="000000"/>
                <w:lang w:val="ro-MD" w:eastAsia="ro-RO"/>
              </w:rPr>
            </w:pPr>
            <w:r w:rsidRPr="00312485">
              <w:rPr>
                <w:color w:val="000000"/>
                <w:lang w:val="ro-MD" w:eastAsia="ro-RO"/>
              </w:rPr>
              <w:t>0,12</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56390" w14:textId="77777777" w:rsidR="00916856" w:rsidRPr="00312485" w:rsidRDefault="00916856" w:rsidP="00377038">
            <w:pPr>
              <w:ind w:firstLine="0"/>
              <w:jc w:val="center"/>
              <w:rPr>
                <w:color w:val="000000"/>
                <w:lang w:val="ro-MD" w:eastAsia="ro-RO"/>
              </w:rPr>
            </w:pPr>
            <w:r w:rsidRPr="00312485">
              <w:rPr>
                <w:color w:val="000000"/>
                <w:lang w:val="ro-MD" w:eastAsia="ro-RO"/>
              </w:rPr>
              <w:t>0,1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0698777" w14:textId="77777777" w:rsidR="00916856" w:rsidRPr="00312485" w:rsidRDefault="00916856" w:rsidP="00377038">
            <w:pPr>
              <w:ind w:firstLine="0"/>
              <w:jc w:val="center"/>
              <w:rPr>
                <w:color w:val="000000"/>
                <w:lang w:val="ro-MD" w:eastAsia="ro-RO"/>
              </w:rPr>
            </w:pPr>
            <w:r w:rsidRPr="00312485">
              <w:rPr>
                <w:color w:val="000000"/>
                <w:lang w:val="ro-MD" w:eastAsia="ro-RO"/>
              </w:rPr>
              <w:t>0,07</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EDFB0" w14:textId="77777777" w:rsidR="00916856" w:rsidRPr="00312485" w:rsidRDefault="00916856" w:rsidP="00377038">
            <w:pPr>
              <w:ind w:firstLine="0"/>
              <w:jc w:val="center"/>
              <w:rPr>
                <w:color w:val="000000"/>
                <w:lang w:val="ro-MD" w:eastAsia="ro-RO"/>
              </w:rPr>
            </w:pPr>
            <w:r w:rsidRPr="00312485">
              <w:rPr>
                <w:color w:val="000000"/>
                <w:lang w:val="ro-MD" w:eastAsia="ro-RO"/>
              </w:rPr>
              <w:t>0,01</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8155D" w14:textId="77777777" w:rsidR="00916856" w:rsidRPr="00312485" w:rsidRDefault="00916856" w:rsidP="00377038">
            <w:pPr>
              <w:ind w:firstLine="0"/>
              <w:jc w:val="center"/>
              <w:rPr>
                <w:color w:val="000000"/>
                <w:lang w:val="ro-MD" w:eastAsia="ro-RO"/>
              </w:rPr>
            </w:pPr>
            <w:r w:rsidRPr="00312485">
              <w:rPr>
                <w:color w:val="000000"/>
                <w:lang w:val="ro-MD" w:eastAsia="ro-RO"/>
              </w:rPr>
              <w:t>0,01</w:t>
            </w: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873FD" w14:textId="77777777" w:rsidR="00916856" w:rsidRPr="00312485" w:rsidRDefault="00916856" w:rsidP="00377038">
            <w:pPr>
              <w:ind w:firstLine="0"/>
              <w:jc w:val="center"/>
              <w:rPr>
                <w:color w:val="000000"/>
                <w:lang w:val="ro-MD" w:eastAsia="ro-RO"/>
              </w:rPr>
            </w:pPr>
            <w:r w:rsidRPr="00312485">
              <w:rPr>
                <w:color w:val="000000"/>
                <w:lang w:val="ro-MD" w:eastAsia="ro-RO"/>
              </w:rPr>
              <w:t>0,0</w:t>
            </w:r>
          </w:p>
        </w:tc>
      </w:tr>
      <w:tr w:rsidR="002066A3" w:rsidRPr="00312485" w14:paraId="40455E51" w14:textId="77777777" w:rsidTr="00C6128E">
        <w:trPr>
          <w:trHeight w:val="420"/>
        </w:trPr>
        <w:tc>
          <w:tcPr>
            <w:tcW w:w="1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D4F297" w14:textId="36955E56" w:rsidR="002066A3" w:rsidRPr="00312485" w:rsidRDefault="002066A3" w:rsidP="002066A3">
            <w:pPr>
              <w:ind w:firstLine="0"/>
              <w:jc w:val="left"/>
              <w:rPr>
                <w:color w:val="000000"/>
                <w:lang w:val="ro-MD" w:eastAsia="ro-RO"/>
              </w:rPr>
            </w:pPr>
            <w:r w:rsidRPr="00312485">
              <w:rPr>
                <w:color w:val="000000"/>
                <w:lang w:val="ro-MD" w:eastAsia="ro-RO"/>
              </w:rPr>
              <w:t>Recreditarea bugetului local</w:t>
            </w: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6B6C7D" w14:textId="1B50DB97"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2DC4F6" w14:textId="0804FB3D"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E9EB22" w14:textId="7673F976"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EE420E" w14:textId="5A36256B"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68F098" w14:textId="470704F1"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E2EB6E" w14:textId="735578E0" w:rsidR="002066A3" w:rsidRPr="00312485" w:rsidRDefault="002066A3" w:rsidP="00377038">
            <w:pPr>
              <w:ind w:firstLine="0"/>
              <w:jc w:val="center"/>
              <w:rPr>
                <w:color w:val="000000"/>
                <w:lang w:val="ro-MD" w:eastAsia="ro-RO"/>
              </w:rPr>
            </w:pPr>
            <w:r w:rsidRPr="00312485">
              <w:rPr>
                <w:color w:val="000000"/>
                <w:lang w:val="ro-MD" w:eastAsia="ro-RO"/>
              </w:rPr>
              <w:t>0,0</w:t>
            </w: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6ED09A" w14:textId="310B15B9" w:rsidR="002066A3" w:rsidRPr="00312485" w:rsidRDefault="002066A3" w:rsidP="00377038">
            <w:pPr>
              <w:ind w:firstLine="0"/>
              <w:jc w:val="center"/>
              <w:rPr>
                <w:color w:val="000000"/>
                <w:lang w:val="ro-MD" w:eastAsia="ro-RO"/>
              </w:rPr>
            </w:pPr>
            <w:r w:rsidRPr="00312485">
              <w:rPr>
                <w:color w:val="000000"/>
                <w:lang w:val="ro-MD" w:eastAsia="ro-RO"/>
              </w:rPr>
              <w:t>0,0</w:t>
            </w:r>
          </w:p>
        </w:tc>
      </w:tr>
      <w:tr w:rsidR="002066A3" w:rsidRPr="00312485" w14:paraId="409C1342" w14:textId="77777777" w:rsidTr="00C6128E">
        <w:trPr>
          <w:trHeight w:val="420"/>
        </w:trPr>
        <w:tc>
          <w:tcPr>
            <w:tcW w:w="1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A18D6" w14:textId="77777777" w:rsidR="002066A3" w:rsidRPr="00312485" w:rsidRDefault="002066A3" w:rsidP="002066A3">
            <w:pPr>
              <w:ind w:firstLine="0"/>
              <w:jc w:val="left"/>
              <w:rPr>
                <w:b/>
                <w:bCs/>
                <w:color w:val="000000"/>
                <w:lang w:val="ro-MD" w:eastAsia="ro-RO"/>
              </w:rPr>
            </w:pPr>
            <w:r w:rsidRPr="00312485">
              <w:rPr>
                <w:b/>
                <w:bCs/>
                <w:color w:val="000000"/>
                <w:lang w:val="ro-MD" w:eastAsia="ro-RO"/>
              </w:rPr>
              <w:t xml:space="preserve">Total resurse </w:t>
            </w:r>
            <w:proofErr w:type="spellStart"/>
            <w:r w:rsidRPr="00312485">
              <w:rPr>
                <w:b/>
                <w:bCs/>
                <w:color w:val="000000"/>
                <w:lang w:val="ro-MD" w:eastAsia="ro-RO"/>
              </w:rPr>
              <w:t>recreditate</w:t>
            </w:r>
            <w:proofErr w:type="spellEnd"/>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77A38"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1,8</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8A42F"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1,56</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FAA5E"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0,6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BD7A567"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0,67</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11E4F"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0,66</w:t>
            </w:r>
          </w:p>
        </w:tc>
        <w:tc>
          <w:tcPr>
            <w:tcW w:w="5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497E3"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0,51</w:t>
            </w: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3BB7A" w14:textId="77777777" w:rsidR="002066A3" w:rsidRPr="00312485" w:rsidRDefault="002066A3" w:rsidP="00377038">
            <w:pPr>
              <w:ind w:firstLine="0"/>
              <w:jc w:val="center"/>
              <w:rPr>
                <w:b/>
                <w:bCs/>
                <w:color w:val="000000"/>
                <w:lang w:val="ro-MD" w:eastAsia="ro-RO"/>
              </w:rPr>
            </w:pPr>
            <w:r w:rsidRPr="00312485">
              <w:rPr>
                <w:b/>
                <w:bCs/>
                <w:color w:val="000000"/>
                <w:lang w:val="ro-MD" w:eastAsia="ro-RO"/>
              </w:rPr>
              <w:t>0,09</w:t>
            </w:r>
          </w:p>
        </w:tc>
      </w:tr>
      <w:tr w:rsidR="002066A3" w:rsidRPr="00312485" w14:paraId="16FD9295" w14:textId="77777777" w:rsidTr="00507FE7">
        <w:trPr>
          <w:trHeight w:val="300"/>
        </w:trPr>
        <w:tc>
          <w:tcPr>
            <w:tcW w:w="1473" w:type="pct"/>
            <w:tcBorders>
              <w:top w:val="nil"/>
              <w:left w:val="nil"/>
              <w:bottom w:val="nil"/>
              <w:right w:val="nil"/>
            </w:tcBorders>
            <w:shd w:val="clear" w:color="auto" w:fill="auto"/>
            <w:noWrap/>
            <w:vAlign w:val="bottom"/>
            <w:hideMark/>
          </w:tcPr>
          <w:p w14:paraId="3E9B9FF2" w14:textId="77777777" w:rsidR="002066A3" w:rsidRPr="00312485" w:rsidRDefault="002066A3" w:rsidP="002066A3">
            <w:pPr>
              <w:ind w:firstLine="0"/>
              <w:jc w:val="left"/>
              <w:rPr>
                <w:i/>
                <w:color w:val="000000"/>
                <w:sz w:val="18"/>
                <w:szCs w:val="18"/>
                <w:lang w:val="ro-MD" w:eastAsia="ro-RO"/>
              </w:rPr>
            </w:pPr>
            <w:r w:rsidRPr="00312485">
              <w:rPr>
                <w:i/>
                <w:color w:val="000000"/>
                <w:sz w:val="18"/>
                <w:szCs w:val="18"/>
                <w:lang w:val="ro-MD" w:eastAsia="ro-RO"/>
              </w:rPr>
              <w:t>Sursa:  Ministerul Finanțelor</w:t>
            </w:r>
          </w:p>
        </w:tc>
        <w:tc>
          <w:tcPr>
            <w:tcW w:w="473" w:type="pct"/>
            <w:tcBorders>
              <w:top w:val="nil"/>
              <w:left w:val="nil"/>
              <w:bottom w:val="nil"/>
              <w:right w:val="nil"/>
            </w:tcBorders>
            <w:shd w:val="clear" w:color="auto" w:fill="auto"/>
            <w:noWrap/>
            <w:vAlign w:val="bottom"/>
            <w:hideMark/>
          </w:tcPr>
          <w:p w14:paraId="7353E000" w14:textId="77777777" w:rsidR="002066A3" w:rsidRPr="00312485" w:rsidRDefault="002066A3" w:rsidP="002066A3">
            <w:pPr>
              <w:ind w:firstLine="0"/>
              <w:jc w:val="left"/>
              <w:rPr>
                <w:color w:val="000000"/>
                <w:lang w:val="ro-MD" w:eastAsia="ro-RO"/>
              </w:rPr>
            </w:pPr>
          </w:p>
        </w:tc>
        <w:tc>
          <w:tcPr>
            <w:tcW w:w="405" w:type="pct"/>
            <w:tcBorders>
              <w:top w:val="nil"/>
              <w:left w:val="nil"/>
              <w:bottom w:val="nil"/>
              <w:right w:val="nil"/>
            </w:tcBorders>
            <w:shd w:val="clear" w:color="auto" w:fill="auto"/>
            <w:noWrap/>
            <w:vAlign w:val="bottom"/>
            <w:hideMark/>
          </w:tcPr>
          <w:p w14:paraId="73C55F13" w14:textId="77777777" w:rsidR="002066A3" w:rsidRPr="00312485" w:rsidRDefault="002066A3" w:rsidP="002066A3">
            <w:pPr>
              <w:ind w:firstLine="0"/>
              <w:jc w:val="left"/>
              <w:rPr>
                <w:color w:val="000000"/>
                <w:lang w:val="ro-MD" w:eastAsia="ro-RO"/>
              </w:rPr>
            </w:pPr>
          </w:p>
        </w:tc>
        <w:tc>
          <w:tcPr>
            <w:tcW w:w="474" w:type="pct"/>
            <w:tcBorders>
              <w:top w:val="nil"/>
              <w:left w:val="nil"/>
              <w:bottom w:val="nil"/>
              <w:right w:val="nil"/>
            </w:tcBorders>
            <w:shd w:val="clear" w:color="auto" w:fill="auto"/>
            <w:noWrap/>
            <w:vAlign w:val="bottom"/>
            <w:hideMark/>
          </w:tcPr>
          <w:p w14:paraId="75DD5E80" w14:textId="77777777" w:rsidR="002066A3" w:rsidRPr="00312485" w:rsidRDefault="002066A3" w:rsidP="002066A3">
            <w:pPr>
              <w:ind w:firstLine="0"/>
              <w:jc w:val="left"/>
              <w:rPr>
                <w:color w:val="000000"/>
                <w:lang w:val="ro-MD" w:eastAsia="ro-RO"/>
              </w:rPr>
            </w:pPr>
          </w:p>
        </w:tc>
        <w:tc>
          <w:tcPr>
            <w:tcW w:w="541" w:type="pct"/>
            <w:tcBorders>
              <w:top w:val="nil"/>
              <w:left w:val="nil"/>
              <w:bottom w:val="nil"/>
              <w:right w:val="nil"/>
            </w:tcBorders>
          </w:tcPr>
          <w:p w14:paraId="487F456B" w14:textId="77777777" w:rsidR="002066A3" w:rsidRPr="00312485" w:rsidRDefault="002066A3" w:rsidP="002066A3">
            <w:pPr>
              <w:ind w:firstLine="0"/>
              <w:jc w:val="left"/>
              <w:rPr>
                <w:color w:val="000000"/>
                <w:lang w:val="ro-MD" w:eastAsia="ro-RO"/>
              </w:rPr>
            </w:pPr>
          </w:p>
        </w:tc>
        <w:tc>
          <w:tcPr>
            <w:tcW w:w="541" w:type="pct"/>
            <w:tcBorders>
              <w:top w:val="nil"/>
              <w:left w:val="nil"/>
              <w:bottom w:val="nil"/>
              <w:right w:val="nil"/>
            </w:tcBorders>
            <w:shd w:val="clear" w:color="auto" w:fill="auto"/>
            <w:noWrap/>
            <w:vAlign w:val="bottom"/>
            <w:hideMark/>
          </w:tcPr>
          <w:p w14:paraId="5596E985" w14:textId="77777777" w:rsidR="002066A3" w:rsidRPr="00312485" w:rsidRDefault="002066A3" w:rsidP="002066A3">
            <w:pPr>
              <w:ind w:firstLine="0"/>
              <w:jc w:val="left"/>
              <w:rPr>
                <w:color w:val="000000"/>
                <w:lang w:val="ro-MD" w:eastAsia="ro-RO"/>
              </w:rPr>
            </w:pPr>
          </w:p>
        </w:tc>
        <w:tc>
          <w:tcPr>
            <w:tcW w:w="545" w:type="pct"/>
            <w:tcBorders>
              <w:top w:val="nil"/>
              <w:left w:val="nil"/>
              <w:bottom w:val="nil"/>
              <w:right w:val="nil"/>
            </w:tcBorders>
            <w:shd w:val="clear" w:color="auto" w:fill="auto"/>
            <w:noWrap/>
            <w:vAlign w:val="bottom"/>
            <w:hideMark/>
          </w:tcPr>
          <w:p w14:paraId="19897061" w14:textId="77777777" w:rsidR="002066A3" w:rsidRPr="00312485" w:rsidRDefault="002066A3" w:rsidP="002066A3">
            <w:pPr>
              <w:ind w:firstLine="0"/>
              <w:jc w:val="left"/>
              <w:rPr>
                <w:color w:val="000000"/>
                <w:lang w:val="ro-MD" w:eastAsia="ro-RO"/>
              </w:rPr>
            </w:pPr>
          </w:p>
        </w:tc>
        <w:tc>
          <w:tcPr>
            <w:tcW w:w="548" w:type="pct"/>
            <w:tcBorders>
              <w:top w:val="nil"/>
              <w:left w:val="nil"/>
              <w:bottom w:val="nil"/>
              <w:right w:val="nil"/>
            </w:tcBorders>
            <w:shd w:val="clear" w:color="auto" w:fill="auto"/>
            <w:noWrap/>
            <w:vAlign w:val="bottom"/>
            <w:hideMark/>
          </w:tcPr>
          <w:p w14:paraId="48A903A4" w14:textId="77777777" w:rsidR="002066A3" w:rsidRPr="00312485" w:rsidRDefault="002066A3" w:rsidP="002066A3">
            <w:pPr>
              <w:ind w:firstLine="0"/>
              <w:jc w:val="left"/>
              <w:rPr>
                <w:color w:val="000000"/>
                <w:lang w:val="ro-MD" w:eastAsia="ro-RO"/>
              </w:rPr>
            </w:pPr>
          </w:p>
        </w:tc>
      </w:tr>
      <w:bookmarkEnd w:id="1"/>
    </w:tbl>
    <w:p w14:paraId="18ED161A" w14:textId="77777777" w:rsidR="00916856" w:rsidRPr="00312485" w:rsidRDefault="00916856" w:rsidP="00916856">
      <w:pPr>
        <w:pStyle w:val="Table"/>
        <w:spacing w:before="0" w:line="240" w:lineRule="auto"/>
        <w:ind w:firstLine="720"/>
        <w:rPr>
          <w:rFonts w:ascii="Times New Roman" w:hAnsi="Times New Roman"/>
          <w:sz w:val="28"/>
          <w:szCs w:val="28"/>
          <w:lang w:val="ro-MD"/>
        </w:rPr>
      </w:pPr>
    </w:p>
    <w:p w14:paraId="5A75B138" w14:textId="77777777" w:rsidR="00916856" w:rsidRPr="00312485" w:rsidRDefault="00916856" w:rsidP="00916856">
      <w:pPr>
        <w:pStyle w:val="Title2"/>
        <w:spacing w:before="0" w:after="0" w:line="240" w:lineRule="auto"/>
        <w:ind w:left="0" w:firstLine="720"/>
        <w:rPr>
          <w:rFonts w:ascii="Times New Roman" w:hAnsi="Times New Roman"/>
          <w:color w:val="auto"/>
          <w:sz w:val="24"/>
          <w:szCs w:val="24"/>
          <w:lang w:val="ro-MD"/>
        </w:rPr>
      </w:pPr>
      <w:r w:rsidRPr="00312485">
        <w:rPr>
          <w:rFonts w:ascii="Times New Roman" w:hAnsi="Times New Roman"/>
          <w:color w:val="auto"/>
          <w:sz w:val="24"/>
          <w:szCs w:val="24"/>
          <w:lang w:val="ro-MD"/>
        </w:rPr>
        <w:t>Recreditarea directă a întreprinderilor de stat și a sectorului privat</w:t>
      </w:r>
    </w:p>
    <w:p w14:paraId="701CA003" w14:textId="77777777"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Pentru implementarea proiectelor de importanța majoră națională, în perioada 2026-2028</w:t>
      </w:r>
      <w:r w:rsidRPr="00312485">
        <w:rPr>
          <w:sz w:val="24"/>
          <w:szCs w:val="24"/>
          <w:lang w:val="ro-MD"/>
        </w:rPr>
        <w:t xml:space="preserve"> </w:t>
      </w:r>
      <w:r w:rsidRPr="00312485">
        <w:rPr>
          <w:rFonts w:ascii="Times New Roman" w:hAnsi="Times New Roman"/>
          <w:sz w:val="24"/>
          <w:szCs w:val="24"/>
          <w:lang w:val="ro-MD"/>
        </w:rPr>
        <w:t xml:space="preserve">se estimează recreditarea întreprinderilor de stat în sumă de 4 895,8 mil. lei. </w:t>
      </w:r>
    </w:p>
    <w:p w14:paraId="153377CC" w14:textId="77777777" w:rsidR="00916856" w:rsidRPr="00312485" w:rsidRDefault="00916856" w:rsidP="00916856">
      <w:pPr>
        <w:pStyle w:val="Title2"/>
        <w:spacing w:before="0" w:after="0" w:line="240" w:lineRule="auto"/>
        <w:ind w:left="0" w:firstLine="709"/>
        <w:rPr>
          <w:rFonts w:ascii="Times New Roman" w:hAnsi="Times New Roman"/>
          <w:i w:val="0"/>
          <w:iCs/>
          <w:sz w:val="24"/>
          <w:szCs w:val="24"/>
          <w:lang w:val="ro-MD"/>
        </w:rPr>
      </w:pPr>
    </w:p>
    <w:p w14:paraId="3099A864" w14:textId="77777777" w:rsidR="004261E8" w:rsidRDefault="004261E8" w:rsidP="00916856">
      <w:pPr>
        <w:pStyle w:val="Title2"/>
        <w:spacing w:before="0" w:after="0" w:line="240" w:lineRule="auto"/>
        <w:ind w:left="0" w:firstLine="720"/>
        <w:rPr>
          <w:rFonts w:ascii="Times New Roman" w:hAnsi="Times New Roman"/>
          <w:color w:val="auto"/>
          <w:sz w:val="24"/>
          <w:szCs w:val="24"/>
          <w:lang w:val="ro-MD"/>
        </w:rPr>
      </w:pPr>
    </w:p>
    <w:p w14:paraId="72878561" w14:textId="626DFD42" w:rsidR="00916856" w:rsidRPr="00312485" w:rsidRDefault="00916856" w:rsidP="00916856">
      <w:pPr>
        <w:pStyle w:val="Title2"/>
        <w:spacing w:before="0" w:after="0" w:line="240" w:lineRule="auto"/>
        <w:ind w:left="0" w:firstLine="720"/>
        <w:rPr>
          <w:rFonts w:ascii="Times New Roman" w:hAnsi="Times New Roman"/>
          <w:color w:val="auto"/>
          <w:sz w:val="24"/>
          <w:szCs w:val="24"/>
          <w:lang w:val="ro-MD"/>
        </w:rPr>
      </w:pPr>
      <w:r w:rsidRPr="00312485">
        <w:rPr>
          <w:rFonts w:ascii="Times New Roman" w:hAnsi="Times New Roman"/>
          <w:color w:val="auto"/>
          <w:sz w:val="24"/>
          <w:szCs w:val="24"/>
          <w:lang w:val="ro-MD"/>
        </w:rPr>
        <w:lastRenderedPageBreak/>
        <w:t>Împrumuturile acordate prin intermediul băncilor, organizațiilor de creditare nebancare și asociațiilor de economii și împrumut participante la recreditarea de stat</w:t>
      </w:r>
    </w:p>
    <w:p w14:paraId="5414C3E3" w14:textId="77777777"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Împrumuturile de stat externe destinate sectorului privat vor fi canalizate prin intermediul băncilor, organizațiilor de creditare nebancare și asociațiilor de economii și împrumut participante la programele de recreditare de stat. Aceste instituții sunt responsabile de evaluarea cererilor de împrumut și aprobarea împrumuturilor, precum și asumarea riscului de credit. În perioada 2026-2028 se estimează recreditarea sectorului privat în sumă de 70,3 mil. lei.</w:t>
      </w:r>
    </w:p>
    <w:p w14:paraId="4603BB40" w14:textId="77777777" w:rsidR="00916856" w:rsidRPr="00312485" w:rsidRDefault="00916856" w:rsidP="00916856">
      <w:pPr>
        <w:pStyle w:val="Title2"/>
        <w:spacing w:before="0" w:after="0" w:line="240" w:lineRule="auto"/>
        <w:ind w:left="0" w:firstLine="720"/>
        <w:rPr>
          <w:rFonts w:ascii="Times New Roman" w:hAnsi="Times New Roman"/>
          <w:color w:val="auto"/>
          <w:sz w:val="24"/>
          <w:szCs w:val="24"/>
          <w:lang w:val="ro-MD"/>
        </w:rPr>
      </w:pPr>
      <w:r w:rsidRPr="00312485">
        <w:rPr>
          <w:rFonts w:ascii="Times New Roman" w:hAnsi="Times New Roman"/>
          <w:color w:val="auto"/>
          <w:sz w:val="24"/>
          <w:szCs w:val="24"/>
          <w:lang w:val="ro-MD"/>
        </w:rPr>
        <w:t>Recreditarea unităților administrativ-teritoriale</w:t>
      </w:r>
    </w:p>
    <w:p w14:paraId="18334E8F" w14:textId="199D98B4" w:rsidR="00916856" w:rsidRPr="00312485" w:rsidRDefault="00916856" w:rsidP="00916856">
      <w:pPr>
        <w:pStyle w:val="Numberedtex"/>
        <w:numPr>
          <w:ilvl w:val="0"/>
          <w:numId w:val="0"/>
        </w:numPr>
        <w:spacing w:before="0" w:after="0" w:line="240" w:lineRule="auto"/>
        <w:ind w:firstLine="720"/>
        <w:rPr>
          <w:rFonts w:ascii="Times New Roman" w:hAnsi="Times New Roman"/>
          <w:sz w:val="24"/>
          <w:szCs w:val="24"/>
          <w:lang w:val="ro-MD"/>
        </w:rPr>
      </w:pPr>
      <w:r w:rsidRPr="00312485">
        <w:rPr>
          <w:rFonts w:ascii="Times New Roman" w:hAnsi="Times New Roman"/>
          <w:sz w:val="24"/>
          <w:szCs w:val="24"/>
          <w:lang w:val="ro-MD"/>
        </w:rPr>
        <w:t xml:space="preserve">În perioada 2026-2028 nu se preconizează recreditarea unităților administrativ-teritoriale în scopul implementării proiectelor finanțate din surse externe în teritoriu de către autoritățile publice locale. </w:t>
      </w:r>
    </w:p>
    <w:p w14:paraId="181DE002" w14:textId="77777777" w:rsidR="002A686C" w:rsidRPr="00312485" w:rsidRDefault="002A686C" w:rsidP="00916856">
      <w:pPr>
        <w:pStyle w:val="Numberedtex"/>
        <w:numPr>
          <w:ilvl w:val="0"/>
          <w:numId w:val="0"/>
        </w:numPr>
        <w:spacing w:before="0" w:after="0" w:line="240" w:lineRule="auto"/>
        <w:ind w:firstLine="720"/>
        <w:rPr>
          <w:rFonts w:ascii="Times New Roman" w:hAnsi="Times New Roman"/>
          <w:sz w:val="24"/>
          <w:szCs w:val="24"/>
          <w:lang w:val="ro-MD"/>
        </w:rPr>
      </w:pPr>
    </w:p>
    <w:p w14:paraId="477E729D" w14:textId="77777777" w:rsidR="00292B52" w:rsidRPr="00312485" w:rsidRDefault="00292B52" w:rsidP="00A86688">
      <w:pPr>
        <w:shd w:val="clear" w:color="auto" w:fill="DBE5F1" w:themeFill="accent1" w:themeFillTint="33"/>
        <w:tabs>
          <w:tab w:val="center" w:pos="4848"/>
          <w:tab w:val="left" w:pos="7515"/>
        </w:tabs>
        <w:ind w:firstLine="0"/>
        <w:jc w:val="center"/>
        <w:rPr>
          <w:b/>
          <w:sz w:val="24"/>
          <w:szCs w:val="24"/>
          <w:lang w:val="ro-MD"/>
        </w:rPr>
      </w:pPr>
      <w:r w:rsidRPr="00312485">
        <w:rPr>
          <w:b/>
          <w:sz w:val="24"/>
          <w:szCs w:val="24"/>
          <w:lang w:val="ro-MD"/>
        </w:rPr>
        <w:t>IV. CADRUL DE CHELTUIELI PENTRU 2026-2028</w:t>
      </w:r>
    </w:p>
    <w:p w14:paraId="33303BBC" w14:textId="1110B250" w:rsidR="00292B52" w:rsidRPr="00312485" w:rsidRDefault="00292B52" w:rsidP="00266FF7">
      <w:pPr>
        <w:autoSpaceDE w:val="0"/>
        <w:autoSpaceDN w:val="0"/>
        <w:adjustRightInd w:val="0"/>
        <w:ind w:firstLine="0"/>
        <w:rPr>
          <w:sz w:val="24"/>
          <w:szCs w:val="24"/>
          <w:lang w:val="ro-MD" w:eastAsia="ru-RU"/>
        </w:rPr>
      </w:pPr>
    </w:p>
    <w:p w14:paraId="3B18A745" w14:textId="2892BCD0" w:rsidR="00835FB1" w:rsidRPr="00312485" w:rsidRDefault="00402DFA" w:rsidP="00835FB1">
      <w:pPr>
        <w:autoSpaceDE w:val="0"/>
        <w:autoSpaceDN w:val="0"/>
        <w:adjustRightInd w:val="0"/>
        <w:ind w:firstLine="0"/>
        <w:jc w:val="center"/>
        <w:rPr>
          <w:b/>
          <w:i/>
          <w:noProof/>
          <w:sz w:val="24"/>
          <w:lang w:val="ro-MD"/>
        </w:rPr>
      </w:pPr>
      <w:r w:rsidRPr="00312485">
        <w:rPr>
          <w:b/>
          <w:sz w:val="24"/>
          <w:szCs w:val="24"/>
          <w:lang w:val="ro-MD" w:eastAsia="ru-RU"/>
        </w:rPr>
        <w:t>A.</w:t>
      </w:r>
      <w:r w:rsidR="00835FB1" w:rsidRPr="00312485">
        <w:rPr>
          <w:b/>
          <w:sz w:val="24"/>
          <w:szCs w:val="24"/>
          <w:lang w:val="ro-MD" w:eastAsia="ru-RU"/>
        </w:rPr>
        <w:t xml:space="preserve"> </w:t>
      </w:r>
      <w:r w:rsidR="00835FB1" w:rsidRPr="00312485">
        <w:rPr>
          <w:b/>
          <w:noProof/>
          <w:sz w:val="24"/>
          <w:lang w:val="ro-MD"/>
        </w:rPr>
        <w:t>Linia de bază și spațiul fiscal</w:t>
      </w:r>
    </w:p>
    <w:p w14:paraId="3BD5E3D9" w14:textId="77777777" w:rsidR="00835FB1" w:rsidRPr="00312485" w:rsidRDefault="00835FB1" w:rsidP="00835FB1">
      <w:pPr>
        <w:pStyle w:val="Listparagraf"/>
        <w:ind w:left="3475"/>
        <w:rPr>
          <w:b/>
          <w:noProof/>
          <w:sz w:val="24"/>
          <w:szCs w:val="24"/>
          <w:lang w:val="ro-MD"/>
        </w:rPr>
      </w:pPr>
    </w:p>
    <w:p w14:paraId="1792D73F" w14:textId="2459179D" w:rsidR="00835FB1" w:rsidRPr="00312485" w:rsidRDefault="00835FB1" w:rsidP="00835FB1">
      <w:pPr>
        <w:ind w:firstLine="567"/>
        <w:rPr>
          <w:rFonts w:eastAsia="Calibri"/>
          <w:noProof/>
          <w:sz w:val="24"/>
          <w:szCs w:val="28"/>
          <w:lang w:val="ro-MD"/>
        </w:rPr>
      </w:pPr>
      <w:bookmarkStart w:id="2" w:name="_Toc488656775"/>
      <w:r w:rsidRPr="00312485">
        <w:rPr>
          <w:rFonts w:eastAsia="Calibri"/>
          <w:noProof/>
          <w:sz w:val="24"/>
          <w:szCs w:val="28"/>
          <w:lang w:val="ro-MD"/>
        </w:rPr>
        <w:t>Linia de bază bugetară care reprezintă cheltuielile pe termen mediu pentru asigurarea financiară a volumului actual de servicii publice în baza politicilor existente și a actelor normative în vigoare, și spațiul fiscal rezervat pentru noile inițiative de politică, inclusiv pentru necesitățile în materie de investiții capitale pentru perioada 2026-2028 se prezintă în tabelul 4.1.</w:t>
      </w:r>
    </w:p>
    <w:p w14:paraId="77585670" w14:textId="77777777" w:rsidR="00835FB1" w:rsidRPr="00312485" w:rsidRDefault="00835FB1" w:rsidP="00835FB1">
      <w:pPr>
        <w:ind w:firstLine="567"/>
        <w:rPr>
          <w:rFonts w:eastAsia="Calibri"/>
          <w:b/>
          <w:bCs/>
          <w:i/>
          <w:noProof/>
          <w:sz w:val="24"/>
          <w:szCs w:val="28"/>
          <w:lang w:val="ro-MD"/>
        </w:rPr>
      </w:pPr>
    </w:p>
    <w:p w14:paraId="12F8FCA1" w14:textId="77777777" w:rsidR="00835FB1" w:rsidRPr="00A86688" w:rsidRDefault="00835FB1" w:rsidP="00835FB1">
      <w:pPr>
        <w:pStyle w:val="Table"/>
        <w:spacing w:before="0" w:line="240" w:lineRule="auto"/>
        <w:ind w:firstLine="720"/>
        <w:jc w:val="right"/>
        <w:rPr>
          <w:rFonts w:asciiTheme="majorBidi" w:hAnsiTheme="majorBidi" w:cstheme="majorBidi"/>
          <w:bCs/>
          <w:noProof/>
          <w:color w:val="auto"/>
          <w:sz w:val="22"/>
          <w:szCs w:val="28"/>
          <w:lang w:val="ro-MD"/>
        </w:rPr>
      </w:pPr>
      <w:r w:rsidRPr="00A86688">
        <w:rPr>
          <w:rFonts w:asciiTheme="majorBidi" w:hAnsiTheme="majorBidi" w:cstheme="majorBidi"/>
          <w:bCs/>
          <w:noProof/>
          <w:color w:val="auto"/>
          <w:sz w:val="22"/>
          <w:szCs w:val="28"/>
          <w:lang w:val="ro-MD"/>
        </w:rPr>
        <w:t>Tabelul 4.1</w:t>
      </w:r>
    </w:p>
    <w:bookmarkEnd w:id="2"/>
    <w:p w14:paraId="29E45E9D" w14:textId="77777777" w:rsidR="00835FB1" w:rsidRPr="00312485" w:rsidRDefault="00835FB1" w:rsidP="00835FB1">
      <w:pPr>
        <w:jc w:val="center"/>
        <w:rPr>
          <w:rFonts w:eastAsia="Calibri"/>
          <w:b/>
          <w:noProof/>
          <w:sz w:val="24"/>
          <w:szCs w:val="28"/>
          <w:lang w:val="ro-MD" w:eastAsia="en-GB" w:bidi="ne-NP"/>
        </w:rPr>
      </w:pPr>
      <w:r w:rsidRPr="00312485">
        <w:rPr>
          <w:rFonts w:eastAsia="Calibri"/>
          <w:b/>
          <w:noProof/>
          <w:sz w:val="24"/>
          <w:szCs w:val="28"/>
          <w:lang w:val="ro-MD" w:eastAsia="en-GB" w:bidi="ne-NP"/>
        </w:rPr>
        <w:t>Linia de bază bugetară și spațiul fiscal</w:t>
      </w:r>
    </w:p>
    <w:p w14:paraId="214690EE" w14:textId="573F9BA8" w:rsidR="00402DFA" w:rsidRPr="00312485" w:rsidRDefault="00402DFA" w:rsidP="00402DFA">
      <w:pPr>
        <w:autoSpaceDE w:val="0"/>
        <w:autoSpaceDN w:val="0"/>
        <w:adjustRightInd w:val="0"/>
        <w:ind w:firstLine="0"/>
        <w:jc w:val="center"/>
        <w:rPr>
          <w:b/>
          <w:sz w:val="24"/>
          <w:szCs w:val="24"/>
          <w:lang w:val="ro-MD" w:eastAsia="ru-RU"/>
        </w:rPr>
      </w:pPr>
    </w:p>
    <w:tbl>
      <w:tblPr>
        <w:tblW w:w="5000" w:type="pct"/>
        <w:tblBorders>
          <w:top w:val="single" w:sz="8" w:space="0" w:color="auto"/>
          <w:bottom w:val="single" w:sz="8" w:space="0" w:color="auto"/>
        </w:tblBorders>
        <w:tblLook w:val="04A0" w:firstRow="1" w:lastRow="0" w:firstColumn="1" w:lastColumn="0" w:noHBand="0" w:noVBand="1"/>
      </w:tblPr>
      <w:tblGrid>
        <w:gridCol w:w="2952"/>
        <w:gridCol w:w="1022"/>
        <w:gridCol w:w="1080"/>
        <w:gridCol w:w="1029"/>
        <w:gridCol w:w="1006"/>
        <w:gridCol w:w="1024"/>
        <w:gridCol w:w="1006"/>
      </w:tblGrid>
      <w:tr w:rsidR="00AF7F63" w:rsidRPr="00312485" w14:paraId="31AAD240" w14:textId="77777777" w:rsidTr="00AE55A1">
        <w:trPr>
          <w:trHeight w:val="257"/>
          <w:tblHeader/>
        </w:trPr>
        <w:tc>
          <w:tcPr>
            <w:tcW w:w="1545" w:type="pct"/>
            <w:vMerge w:val="restart"/>
            <w:tcBorders>
              <w:top w:val="single" w:sz="4" w:space="0" w:color="auto"/>
              <w:left w:val="single" w:sz="4" w:space="0" w:color="auto"/>
              <w:bottom w:val="nil"/>
              <w:right w:val="single" w:sz="4" w:space="0" w:color="auto"/>
            </w:tcBorders>
            <w:shd w:val="clear" w:color="auto" w:fill="auto"/>
            <w:noWrap/>
            <w:hideMark/>
          </w:tcPr>
          <w:p w14:paraId="7528C848" w14:textId="77777777" w:rsidR="00AF7F63" w:rsidRPr="00312485" w:rsidRDefault="00AF7F63" w:rsidP="00AF7F63">
            <w:pPr>
              <w:ind w:firstLine="0"/>
              <w:jc w:val="center"/>
              <w:rPr>
                <w:rFonts w:eastAsia="Calibri"/>
                <w:noProof/>
                <w:sz w:val="18"/>
                <w:szCs w:val="18"/>
                <w:lang w:val="ro-MD"/>
              </w:rPr>
            </w:pPr>
            <w:r w:rsidRPr="00312485">
              <w:rPr>
                <w:rFonts w:eastAsia="Calibri"/>
                <w:noProof/>
                <w:sz w:val="18"/>
                <w:szCs w:val="18"/>
                <w:lang w:val="ro-MD"/>
              </w:rPr>
              <w:t> </w:t>
            </w:r>
          </w:p>
        </w:tc>
        <w:tc>
          <w:tcPr>
            <w:tcW w:w="177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86ED6" w14:textId="77777777" w:rsidR="00AF7F63" w:rsidRPr="00312485" w:rsidRDefault="00AF7F63" w:rsidP="00AF7F63">
            <w:pPr>
              <w:ind w:firstLine="0"/>
              <w:jc w:val="center"/>
              <w:rPr>
                <w:rFonts w:eastAsia="Calibri"/>
                <w:noProof/>
                <w:sz w:val="18"/>
                <w:szCs w:val="18"/>
                <w:lang w:val="ro-MD"/>
              </w:rPr>
            </w:pPr>
            <w:r w:rsidRPr="00312485">
              <w:rPr>
                <w:rFonts w:eastAsia="Calibri"/>
                <w:noProof/>
                <w:sz w:val="18"/>
                <w:szCs w:val="18"/>
                <w:lang w:val="ro-MD"/>
              </w:rPr>
              <w:t>(mil. lei)</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0EB2C" w14:textId="77777777" w:rsidR="00AF7F63" w:rsidRPr="00312485" w:rsidRDefault="00AF7F63" w:rsidP="00AF7F63">
            <w:pPr>
              <w:ind w:firstLine="0"/>
              <w:jc w:val="center"/>
              <w:rPr>
                <w:rFonts w:eastAsia="Calibri"/>
                <w:noProof/>
                <w:sz w:val="18"/>
                <w:szCs w:val="18"/>
                <w:lang w:val="ro-MD"/>
              </w:rPr>
            </w:pPr>
            <w:r w:rsidRPr="00312485">
              <w:rPr>
                <w:rFonts w:eastAsia="Calibri"/>
                <w:noProof/>
                <w:sz w:val="18"/>
                <w:szCs w:val="18"/>
                <w:lang w:val="ro-MD"/>
              </w:rPr>
              <w:t>(% din PIB)</w:t>
            </w:r>
          </w:p>
        </w:tc>
      </w:tr>
      <w:tr w:rsidR="00AF7F63" w:rsidRPr="00312485" w14:paraId="77CC4EDB" w14:textId="77777777" w:rsidTr="00AE55A1">
        <w:trPr>
          <w:trHeight w:val="257"/>
          <w:tblHeader/>
        </w:trPr>
        <w:tc>
          <w:tcPr>
            <w:tcW w:w="1545" w:type="pct"/>
            <w:vMerge/>
            <w:tcBorders>
              <w:top w:val="nil"/>
              <w:left w:val="single" w:sz="4" w:space="0" w:color="auto"/>
              <w:bottom w:val="nil"/>
              <w:right w:val="single" w:sz="4" w:space="0" w:color="auto"/>
            </w:tcBorders>
            <w:vAlign w:val="center"/>
            <w:hideMark/>
          </w:tcPr>
          <w:p w14:paraId="01509DDF" w14:textId="77777777" w:rsidR="00AF7F63" w:rsidRPr="00312485" w:rsidRDefault="00AF7F63" w:rsidP="00AF7F63">
            <w:pPr>
              <w:ind w:firstLine="0"/>
              <w:jc w:val="left"/>
              <w:rPr>
                <w:rFonts w:eastAsia="Calibri"/>
                <w:noProof/>
                <w:sz w:val="18"/>
                <w:szCs w:val="18"/>
                <w:lang w:val="ro-MD"/>
              </w:rPr>
            </w:pPr>
          </w:p>
        </w:tc>
        <w:tc>
          <w:tcPr>
            <w:tcW w:w="579" w:type="pct"/>
            <w:tcBorders>
              <w:top w:val="single" w:sz="4" w:space="0" w:color="auto"/>
              <w:left w:val="single" w:sz="4" w:space="0" w:color="auto"/>
              <w:bottom w:val="nil"/>
            </w:tcBorders>
            <w:shd w:val="clear" w:color="auto" w:fill="auto"/>
            <w:noWrap/>
            <w:vAlign w:val="center"/>
            <w:hideMark/>
          </w:tcPr>
          <w:p w14:paraId="0CC52578"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2026</w:t>
            </w:r>
          </w:p>
        </w:tc>
        <w:tc>
          <w:tcPr>
            <w:tcW w:w="611" w:type="pct"/>
            <w:tcBorders>
              <w:top w:val="single" w:sz="4" w:space="0" w:color="auto"/>
              <w:bottom w:val="nil"/>
            </w:tcBorders>
            <w:shd w:val="clear" w:color="auto" w:fill="auto"/>
            <w:noWrap/>
            <w:vAlign w:val="center"/>
            <w:hideMark/>
          </w:tcPr>
          <w:p w14:paraId="023B1B94"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2027</w:t>
            </w:r>
          </w:p>
        </w:tc>
        <w:tc>
          <w:tcPr>
            <w:tcW w:w="582" w:type="pct"/>
            <w:tcBorders>
              <w:top w:val="single" w:sz="4" w:space="0" w:color="auto"/>
              <w:bottom w:val="nil"/>
              <w:right w:val="single" w:sz="4" w:space="0" w:color="auto"/>
            </w:tcBorders>
            <w:shd w:val="clear" w:color="auto" w:fill="auto"/>
            <w:noWrap/>
            <w:vAlign w:val="center"/>
            <w:hideMark/>
          </w:tcPr>
          <w:p w14:paraId="309DB779"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2028</w:t>
            </w:r>
          </w:p>
        </w:tc>
        <w:tc>
          <w:tcPr>
            <w:tcW w:w="551" w:type="pct"/>
            <w:tcBorders>
              <w:top w:val="single" w:sz="4" w:space="0" w:color="auto"/>
              <w:left w:val="single" w:sz="4" w:space="0" w:color="auto"/>
              <w:bottom w:val="nil"/>
            </w:tcBorders>
            <w:shd w:val="clear" w:color="auto" w:fill="auto"/>
            <w:noWrap/>
            <w:vAlign w:val="center"/>
            <w:hideMark/>
          </w:tcPr>
          <w:p w14:paraId="2D946FB8"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2026</w:t>
            </w:r>
          </w:p>
        </w:tc>
        <w:tc>
          <w:tcPr>
            <w:tcW w:w="580" w:type="pct"/>
            <w:tcBorders>
              <w:top w:val="single" w:sz="4" w:space="0" w:color="auto"/>
              <w:bottom w:val="nil"/>
            </w:tcBorders>
            <w:shd w:val="clear" w:color="auto" w:fill="auto"/>
            <w:noWrap/>
            <w:vAlign w:val="center"/>
            <w:hideMark/>
          </w:tcPr>
          <w:p w14:paraId="328EB502"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2027</w:t>
            </w:r>
          </w:p>
        </w:tc>
        <w:tc>
          <w:tcPr>
            <w:tcW w:w="551" w:type="pct"/>
            <w:tcBorders>
              <w:top w:val="single" w:sz="4" w:space="0" w:color="auto"/>
              <w:bottom w:val="nil"/>
              <w:right w:val="single" w:sz="4" w:space="0" w:color="auto"/>
            </w:tcBorders>
            <w:shd w:val="clear" w:color="auto" w:fill="auto"/>
            <w:noWrap/>
            <w:vAlign w:val="center"/>
            <w:hideMark/>
          </w:tcPr>
          <w:p w14:paraId="27C2D0AD"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2028</w:t>
            </w:r>
          </w:p>
        </w:tc>
      </w:tr>
      <w:tr w:rsidR="00AF7F63" w:rsidRPr="00312485" w14:paraId="35E69E4C" w14:textId="77777777" w:rsidTr="00AE55A1">
        <w:trPr>
          <w:trHeight w:val="270"/>
          <w:tblHeader/>
        </w:trPr>
        <w:tc>
          <w:tcPr>
            <w:tcW w:w="1545" w:type="pct"/>
            <w:vMerge/>
            <w:tcBorders>
              <w:top w:val="nil"/>
              <w:left w:val="single" w:sz="4" w:space="0" w:color="auto"/>
              <w:bottom w:val="single" w:sz="4" w:space="0" w:color="auto"/>
              <w:right w:val="single" w:sz="4" w:space="0" w:color="auto"/>
            </w:tcBorders>
            <w:vAlign w:val="center"/>
            <w:hideMark/>
          </w:tcPr>
          <w:p w14:paraId="73FA0D1F" w14:textId="77777777" w:rsidR="00AF7F63" w:rsidRPr="00312485" w:rsidRDefault="00AF7F63" w:rsidP="00AF7F63">
            <w:pPr>
              <w:ind w:firstLine="0"/>
              <w:jc w:val="left"/>
              <w:rPr>
                <w:rFonts w:eastAsia="Calibri"/>
                <w:noProof/>
                <w:sz w:val="18"/>
                <w:szCs w:val="18"/>
                <w:lang w:val="ro-MD"/>
              </w:rPr>
            </w:pPr>
          </w:p>
        </w:tc>
        <w:tc>
          <w:tcPr>
            <w:tcW w:w="579" w:type="pct"/>
            <w:tcBorders>
              <w:top w:val="nil"/>
              <w:left w:val="single" w:sz="4" w:space="0" w:color="auto"/>
              <w:bottom w:val="single" w:sz="4" w:space="0" w:color="auto"/>
            </w:tcBorders>
            <w:shd w:val="clear" w:color="auto" w:fill="auto"/>
            <w:noWrap/>
            <w:vAlign w:val="center"/>
            <w:hideMark/>
          </w:tcPr>
          <w:p w14:paraId="5AD65386"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c>
          <w:tcPr>
            <w:tcW w:w="611" w:type="pct"/>
            <w:tcBorders>
              <w:top w:val="nil"/>
              <w:bottom w:val="single" w:sz="4" w:space="0" w:color="auto"/>
            </w:tcBorders>
            <w:shd w:val="clear" w:color="auto" w:fill="auto"/>
            <w:noWrap/>
            <w:vAlign w:val="center"/>
            <w:hideMark/>
          </w:tcPr>
          <w:p w14:paraId="6B4F1FDB"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c>
          <w:tcPr>
            <w:tcW w:w="582" w:type="pct"/>
            <w:tcBorders>
              <w:top w:val="nil"/>
              <w:bottom w:val="single" w:sz="4" w:space="0" w:color="auto"/>
              <w:right w:val="single" w:sz="4" w:space="0" w:color="auto"/>
            </w:tcBorders>
            <w:shd w:val="clear" w:color="auto" w:fill="auto"/>
            <w:noWrap/>
            <w:vAlign w:val="center"/>
            <w:hideMark/>
          </w:tcPr>
          <w:p w14:paraId="55860F24"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c>
          <w:tcPr>
            <w:tcW w:w="551" w:type="pct"/>
            <w:tcBorders>
              <w:top w:val="nil"/>
              <w:left w:val="single" w:sz="4" w:space="0" w:color="auto"/>
              <w:bottom w:val="single" w:sz="4" w:space="0" w:color="auto"/>
            </w:tcBorders>
            <w:shd w:val="clear" w:color="auto" w:fill="auto"/>
            <w:noWrap/>
            <w:vAlign w:val="center"/>
            <w:hideMark/>
          </w:tcPr>
          <w:p w14:paraId="12FFB837"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c>
          <w:tcPr>
            <w:tcW w:w="580" w:type="pct"/>
            <w:tcBorders>
              <w:top w:val="nil"/>
              <w:bottom w:val="single" w:sz="4" w:space="0" w:color="auto"/>
            </w:tcBorders>
            <w:shd w:val="clear" w:color="auto" w:fill="auto"/>
            <w:noWrap/>
            <w:vAlign w:val="center"/>
            <w:hideMark/>
          </w:tcPr>
          <w:p w14:paraId="774ACB2D"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c>
          <w:tcPr>
            <w:tcW w:w="551" w:type="pct"/>
            <w:tcBorders>
              <w:top w:val="nil"/>
              <w:bottom w:val="single" w:sz="4" w:space="0" w:color="auto"/>
              <w:right w:val="single" w:sz="4" w:space="0" w:color="auto"/>
            </w:tcBorders>
            <w:shd w:val="clear" w:color="auto" w:fill="auto"/>
            <w:noWrap/>
            <w:vAlign w:val="center"/>
            <w:hideMark/>
          </w:tcPr>
          <w:p w14:paraId="0B617C34" w14:textId="77777777" w:rsidR="00AF7F63" w:rsidRPr="00312485" w:rsidRDefault="00AF7F63" w:rsidP="00AF7F63">
            <w:pPr>
              <w:ind w:firstLine="0"/>
              <w:jc w:val="center"/>
              <w:rPr>
                <w:rFonts w:eastAsia="Calibri"/>
                <w:b/>
                <w:bCs/>
                <w:noProof/>
                <w:sz w:val="18"/>
                <w:szCs w:val="18"/>
                <w:lang w:val="ro-MD"/>
              </w:rPr>
            </w:pPr>
            <w:r w:rsidRPr="00312485">
              <w:rPr>
                <w:rFonts w:eastAsia="Calibri"/>
                <w:b/>
                <w:bCs/>
                <w:noProof/>
                <w:sz w:val="18"/>
                <w:szCs w:val="18"/>
                <w:lang w:val="ro-MD"/>
              </w:rPr>
              <w:t>Prognozat</w:t>
            </w:r>
          </w:p>
        </w:tc>
      </w:tr>
      <w:tr w:rsidR="00AF7F63" w:rsidRPr="00312485" w14:paraId="62E65111" w14:textId="77777777" w:rsidTr="009E73C4">
        <w:trPr>
          <w:trHeight w:val="257"/>
        </w:trPr>
        <w:tc>
          <w:tcPr>
            <w:tcW w:w="15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3A76B" w14:textId="77777777" w:rsidR="00AF7F63" w:rsidRPr="00F575D9" w:rsidRDefault="00AF7F63" w:rsidP="00AF7F63">
            <w:pPr>
              <w:ind w:firstLine="0"/>
              <w:jc w:val="left"/>
              <w:rPr>
                <w:rFonts w:eastAsia="Calibri"/>
                <w:b/>
                <w:noProof/>
                <w:sz w:val="18"/>
                <w:szCs w:val="18"/>
                <w:lang w:val="ro-MD"/>
              </w:rPr>
            </w:pPr>
            <w:r w:rsidRPr="00F575D9">
              <w:rPr>
                <w:rFonts w:eastAsia="Calibri"/>
                <w:b/>
                <w:noProof/>
                <w:sz w:val="18"/>
                <w:szCs w:val="18"/>
                <w:lang w:val="ro-MD"/>
              </w:rPr>
              <w:t>Total cheltuieli (exclusiv dobânzile)</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A9D99" w14:textId="2EAFA3BA"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146</w:t>
            </w:r>
            <w:r w:rsidR="007D0AE8" w:rsidRPr="00312485">
              <w:rPr>
                <w:rFonts w:eastAsia="Calibri"/>
                <w:noProof/>
                <w:sz w:val="18"/>
                <w:szCs w:val="18"/>
                <w:lang w:val="ro-MD"/>
              </w:rPr>
              <w:t xml:space="preserve"> </w:t>
            </w:r>
            <w:r w:rsidRPr="00312485">
              <w:rPr>
                <w:rFonts w:eastAsia="Calibri"/>
                <w:noProof/>
                <w:sz w:val="18"/>
                <w:szCs w:val="18"/>
                <w:lang w:val="ro-MD"/>
              </w:rPr>
              <w:t>263</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CB572" w14:textId="4AB96D23"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158</w:t>
            </w:r>
            <w:r w:rsidR="007D0AE8" w:rsidRPr="00312485">
              <w:rPr>
                <w:rFonts w:eastAsia="Calibri"/>
                <w:noProof/>
                <w:sz w:val="18"/>
                <w:szCs w:val="18"/>
                <w:lang w:val="ro-MD"/>
              </w:rPr>
              <w:t xml:space="preserve"> </w:t>
            </w:r>
            <w:r w:rsidRPr="00312485">
              <w:rPr>
                <w:rFonts w:eastAsia="Calibri"/>
                <w:noProof/>
                <w:sz w:val="18"/>
                <w:szCs w:val="18"/>
                <w:lang w:val="ro-MD"/>
              </w:rPr>
              <w:t>478</w:t>
            </w: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9BF78" w14:textId="7CFBBA98"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167</w:t>
            </w:r>
            <w:r w:rsidR="007D0AE8" w:rsidRPr="00312485">
              <w:rPr>
                <w:rFonts w:eastAsia="Calibri"/>
                <w:noProof/>
                <w:sz w:val="18"/>
                <w:szCs w:val="18"/>
                <w:lang w:val="ro-MD"/>
              </w:rPr>
              <w:t xml:space="preserve"> </w:t>
            </w:r>
            <w:r w:rsidRPr="00312485">
              <w:rPr>
                <w:rFonts w:eastAsia="Calibri"/>
                <w:noProof/>
                <w:sz w:val="18"/>
                <w:szCs w:val="18"/>
                <w:lang w:val="ro-MD"/>
              </w:rPr>
              <w:t>172</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31C09"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38,5%</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75D02"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38,5%</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80A76"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37,9%</w:t>
            </w:r>
          </w:p>
        </w:tc>
      </w:tr>
      <w:tr w:rsidR="00AF7F63" w:rsidRPr="00312485" w14:paraId="1D9C9DAC" w14:textId="77777777" w:rsidTr="009E73C4">
        <w:trPr>
          <w:trHeight w:val="257"/>
        </w:trPr>
        <w:tc>
          <w:tcPr>
            <w:tcW w:w="15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0F149" w14:textId="77777777" w:rsidR="00AF7F63" w:rsidRPr="00F575D9" w:rsidRDefault="00AF7F63" w:rsidP="001C5A61">
            <w:pPr>
              <w:ind w:right="-140" w:firstLine="0"/>
              <w:jc w:val="left"/>
              <w:rPr>
                <w:rFonts w:eastAsia="Calibri"/>
                <w:b/>
                <w:noProof/>
                <w:sz w:val="18"/>
                <w:szCs w:val="18"/>
                <w:lang w:val="ro-MD"/>
              </w:rPr>
            </w:pPr>
            <w:r w:rsidRPr="00F575D9">
              <w:rPr>
                <w:rFonts w:eastAsia="Calibri"/>
                <w:b/>
                <w:noProof/>
                <w:sz w:val="18"/>
                <w:szCs w:val="18"/>
                <w:lang w:val="ro-MD"/>
              </w:rPr>
              <w:t>Total cheltuieli pentru linia de bază</w:t>
            </w:r>
          </w:p>
        </w:tc>
        <w:tc>
          <w:tcPr>
            <w:tcW w:w="579"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F55DE0" w14:textId="65743B1A"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139</w:t>
            </w:r>
            <w:r w:rsidR="007D0AE8" w:rsidRPr="00312485">
              <w:rPr>
                <w:rFonts w:eastAsia="Calibri"/>
                <w:noProof/>
                <w:sz w:val="18"/>
                <w:szCs w:val="18"/>
                <w:lang w:val="ro-MD"/>
              </w:rPr>
              <w:t xml:space="preserve"> </w:t>
            </w:r>
            <w:r w:rsidRPr="00312485">
              <w:rPr>
                <w:rFonts w:eastAsia="Calibri"/>
                <w:noProof/>
                <w:sz w:val="18"/>
                <w:szCs w:val="18"/>
                <w:lang w:val="ro-MD"/>
              </w:rPr>
              <w:t>273</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C1F4AD8" w14:textId="0DCC38A8"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146</w:t>
            </w:r>
            <w:r w:rsidR="007D0AE8" w:rsidRPr="00312485">
              <w:rPr>
                <w:rFonts w:eastAsia="Calibri"/>
                <w:noProof/>
                <w:sz w:val="18"/>
                <w:szCs w:val="18"/>
                <w:lang w:val="ro-MD"/>
              </w:rPr>
              <w:t xml:space="preserve"> </w:t>
            </w:r>
            <w:r w:rsidRPr="00312485">
              <w:rPr>
                <w:rFonts w:eastAsia="Calibri"/>
                <w:noProof/>
                <w:sz w:val="18"/>
                <w:szCs w:val="18"/>
                <w:lang w:val="ro-MD"/>
              </w:rPr>
              <w:t>533</w:t>
            </w:r>
          </w:p>
        </w:tc>
        <w:tc>
          <w:tcPr>
            <w:tcW w:w="582"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7870C98" w14:textId="2E263C9E"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153</w:t>
            </w:r>
            <w:r w:rsidR="007D0AE8" w:rsidRPr="00312485">
              <w:rPr>
                <w:rFonts w:eastAsia="Calibri"/>
                <w:noProof/>
                <w:sz w:val="18"/>
                <w:szCs w:val="18"/>
                <w:lang w:val="ro-MD"/>
              </w:rPr>
              <w:t xml:space="preserve"> </w:t>
            </w:r>
            <w:r w:rsidRPr="00312485">
              <w:rPr>
                <w:rFonts w:eastAsia="Calibri"/>
                <w:noProof/>
                <w:sz w:val="18"/>
                <w:szCs w:val="18"/>
                <w:lang w:val="ro-MD"/>
              </w:rPr>
              <w:t>196</w:t>
            </w:r>
          </w:p>
        </w:tc>
        <w:tc>
          <w:tcPr>
            <w:tcW w:w="55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2FB120A"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36,6%</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FD5E9"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35,6%</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E2209"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34,8%</w:t>
            </w:r>
          </w:p>
        </w:tc>
      </w:tr>
      <w:tr w:rsidR="00AF7F63" w:rsidRPr="00312485" w14:paraId="1F7D845B" w14:textId="77777777" w:rsidTr="009E73C4">
        <w:trPr>
          <w:trHeight w:val="257"/>
        </w:trPr>
        <w:tc>
          <w:tcPr>
            <w:tcW w:w="15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98044" w14:textId="77777777" w:rsidR="00AF7F63" w:rsidRPr="00F575D9" w:rsidRDefault="00AF7F63" w:rsidP="00AF7F63">
            <w:pPr>
              <w:ind w:firstLine="0"/>
              <w:jc w:val="left"/>
              <w:rPr>
                <w:rFonts w:eastAsia="Calibri"/>
                <w:b/>
                <w:noProof/>
                <w:sz w:val="18"/>
                <w:szCs w:val="18"/>
                <w:lang w:val="ro-MD"/>
              </w:rPr>
            </w:pPr>
            <w:r w:rsidRPr="00F575D9">
              <w:rPr>
                <w:rFonts w:eastAsia="Calibri"/>
                <w:b/>
                <w:noProof/>
                <w:sz w:val="18"/>
                <w:szCs w:val="18"/>
                <w:lang w:val="ro-MD"/>
              </w:rPr>
              <w:t>Total spațiu fiscal disponibil</w:t>
            </w:r>
          </w:p>
        </w:tc>
        <w:tc>
          <w:tcPr>
            <w:tcW w:w="579"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09A6DB2" w14:textId="6C5470E4"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6</w:t>
            </w:r>
            <w:r w:rsidR="007D0AE8" w:rsidRPr="00312485">
              <w:rPr>
                <w:rFonts w:eastAsia="Calibri"/>
                <w:noProof/>
                <w:sz w:val="18"/>
                <w:szCs w:val="18"/>
                <w:lang w:val="ro-MD"/>
              </w:rPr>
              <w:t xml:space="preserve"> </w:t>
            </w:r>
            <w:r w:rsidRPr="00312485">
              <w:rPr>
                <w:rFonts w:eastAsia="Calibri"/>
                <w:noProof/>
                <w:sz w:val="18"/>
                <w:szCs w:val="18"/>
                <w:lang w:val="ro-MD"/>
              </w:rPr>
              <w:t>990</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F6F19F6" w14:textId="469CB1DA"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11</w:t>
            </w:r>
            <w:r w:rsidR="007D0AE8" w:rsidRPr="00312485">
              <w:rPr>
                <w:rFonts w:eastAsia="Calibri"/>
                <w:noProof/>
                <w:sz w:val="18"/>
                <w:szCs w:val="18"/>
                <w:lang w:val="ro-MD"/>
              </w:rPr>
              <w:t xml:space="preserve"> </w:t>
            </w:r>
            <w:r w:rsidRPr="00312485">
              <w:rPr>
                <w:rFonts w:eastAsia="Calibri"/>
                <w:noProof/>
                <w:sz w:val="18"/>
                <w:szCs w:val="18"/>
                <w:lang w:val="ro-MD"/>
              </w:rPr>
              <w:t>945</w:t>
            </w:r>
          </w:p>
        </w:tc>
        <w:tc>
          <w:tcPr>
            <w:tcW w:w="582"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43B31B" w14:textId="39439BA6"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13</w:t>
            </w:r>
            <w:r w:rsidR="007D0AE8" w:rsidRPr="00312485">
              <w:rPr>
                <w:rFonts w:eastAsia="Calibri"/>
                <w:noProof/>
                <w:sz w:val="18"/>
                <w:szCs w:val="18"/>
                <w:lang w:val="ro-MD"/>
              </w:rPr>
              <w:t xml:space="preserve"> </w:t>
            </w:r>
            <w:r w:rsidRPr="00312485">
              <w:rPr>
                <w:rFonts w:eastAsia="Calibri"/>
                <w:noProof/>
                <w:sz w:val="18"/>
                <w:szCs w:val="18"/>
                <w:lang w:val="ro-MD"/>
              </w:rPr>
              <w:t>976</w:t>
            </w:r>
          </w:p>
        </w:tc>
        <w:tc>
          <w:tcPr>
            <w:tcW w:w="55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43AEA40"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1,8%</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9721E"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2,9%</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BACB5" w14:textId="77777777" w:rsidR="00AF7F63" w:rsidRPr="00312485" w:rsidRDefault="00AF7F63" w:rsidP="001C5A61">
            <w:pPr>
              <w:ind w:firstLine="0"/>
              <w:jc w:val="center"/>
              <w:rPr>
                <w:rFonts w:eastAsia="Calibri"/>
                <w:noProof/>
                <w:sz w:val="18"/>
                <w:szCs w:val="18"/>
                <w:lang w:val="ro-MD"/>
              </w:rPr>
            </w:pPr>
            <w:r w:rsidRPr="00312485">
              <w:rPr>
                <w:rFonts w:eastAsia="Calibri"/>
                <w:noProof/>
                <w:sz w:val="18"/>
                <w:szCs w:val="18"/>
                <w:lang w:val="ro-MD"/>
              </w:rPr>
              <w:t>3,2%</w:t>
            </w:r>
          </w:p>
        </w:tc>
      </w:tr>
    </w:tbl>
    <w:p w14:paraId="0EC0B479" w14:textId="77777777" w:rsidR="005D67B1" w:rsidRPr="00312485" w:rsidRDefault="005D67B1" w:rsidP="005D67B1">
      <w:pPr>
        <w:jc w:val="left"/>
        <w:rPr>
          <w:noProof/>
          <w:sz w:val="16"/>
          <w:lang w:val="ro-MD"/>
        </w:rPr>
      </w:pPr>
      <w:r w:rsidRPr="00312485">
        <w:rPr>
          <w:i/>
          <w:noProof/>
          <w:color w:val="000000"/>
          <w:sz w:val="16"/>
          <w:lang w:val="ro-MD" w:eastAsia="ro-RO"/>
        </w:rPr>
        <w:t>Sursa:  Ministerul Finanțelor</w:t>
      </w:r>
    </w:p>
    <w:p w14:paraId="0105E79C" w14:textId="77777777" w:rsidR="00861FC1" w:rsidRPr="00312485" w:rsidRDefault="00861FC1" w:rsidP="00861FC1">
      <w:pPr>
        <w:ind w:firstLine="720"/>
        <w:rPr>
          <w:noProof/>
          <w:sz w:val="24"/>
          <w:szCs w:val="24"/>
          <w:lang w:val="ro-MD"/>
        </w:rPr>
      </w:pPr>
    </w:p>
    <w:p w14:paraId="7CB3F14B" w14:textId="473E2470" w:rsidR="00861FC1" w:rsidRPr="00312485" w:rsidRDefault="00861FC1" w:rsidP="00861FC1">
      <w:pPr>
        <w:ind w:firstLine="720"/>
        <w:rPr>
          <w:noProof/>
          <w:sz w:val="24"/>
          <w:szCs w:val="24"/>
          <w:lang w:val="ro-MD"/>
        </w:rPr>
      </w:pPr>
      <w:r w:rsidRPr="00312485">
        <w:rPr>
          <w:noProof/>
          <w:sz w:val="24"/>
          <w:szCs w:val="24"/>
          <w:lang w:val="ro-MD"/>
        </w:rPr>
        <w:t>Linia de bază în raport cu cheltuielile totale (excluzând dobânzile) variază între 95,2% în anul 2026 și 91,6% în anul 2028. Astfel, se păstrează ponderea majoră a cheltuielilor de bază, determinată de cadrul de resurse restrâns, fiind necesară implementarea măsurilor de eficientizare și prioritizare a cheltuielilor .</w:t>
      </w:r>
    </w:p>
    <w:p w14:paraId="1E3CD83D" w14:textId="77777777" w:rsidR="00861FC1" w:rsidRPr="00312485" w:rsidRDefault="00861FC1" w:rsidP="00861FC1">
      <w:pPr>
        <w:ind w:firstLine="720"/>
        <w:rPr>
          <w:noProof/>
          <w:sz w:val="24"/>
          <w:szCs w:val="24"/>
          <w:lang w:val="ro-MD"/>
        </w:rPr>
      </w:pPr>
      <w:r w:rsidRPr="00312485">
        <w:rPr>
          <w:noProof/>
          <w:sz w:val="24"/>
          <w:szCs w:val="24"/>
          <w:lang w:val="ro-MD"/>
        </w:rPr>
        <w:t xml:space="preserve">Cheltuielile de bază în contextul CBTM (2026-2028) au fost determinate pe baza analizei alocațiilor aprobate pentru anul 2025, măsurilor incluse în procesele de modificare a bugetului pentru anul 2025, care sunt trecătoare pe termen mediu, a unui exercițiu de actualizare, ținând cont de factorii tehnici, precum și în baza analizei executării cheltuielilor bugetului public național în anul 2024. </w:t>
      </w:r>
    </w:p>
    <w:p w14:paraId="1F4057BB" w14:textId="6ED62C4B" w:rsidR="00861FC1" w:rsidRPr="00312485" w:rsidRDefault="00861FC1" w:rsidP="00861FC1">
      <w:pPr>
        <w:ind w:firstLine="720"/>
        <w:rPr>
          <w:noProof/>
          <w:sz w:val="24"/>
          <w:szCs w:val="24"/>
          <w:lang w:val="ro-MD"/>
        </w:rPr>
      </w:pPr>
      <w:r w:rsidRPr="00312485">
        <w:rPr>
          <w:noProof/>
          <w:sz w:val="24"/>
          <w:szCs w:val="24"/>
          <w:lang w:val="ro-MD"/>
        </w:rPr>
        <w:t>Pentru anul 2026, suplimentar la linia de bază estimată de Ministerul Finanţelor, autoritățile bugetare au prezentat solicitări de cheltuieli în sumă de circa 35 miliarde de lei, ce depăşeşte cu circa 23% totalul resurselor estimate pentru anul respectiv. Dat fiind cadrul de resurse restrâns și prioritățile stabilite, nu a fost posibil de a încadra solicitările suplimentare în limita spaţiului fiscal disponibil.</w:t>
      </w:r>
    </w:p>
    <w:p w14:paraId="027263EC" w14:textId="35903DDF" w:rsidR="00861FC1" w:rsidRDefault="00861FC1" w:rsidP="00861FC1">
      <w:pPr>
        <w:ind w:firstLine="567"/>
        <w:rPr>
          <w:noProof/>
          <w:sz w:val="24"/>
          <w:szCs w:val="24"/>
          <w:lang w:val="ro-MD"/>
        </w:rPr>
      </w:pPr>
      <w:r w:rsidRPr="00312485">
        <w:rPr>
          <w:noProof/>
          <w:sz w:val="24"/>
          <w:szCs w:val="24"/>
          <w:lang w:val="ro-MD"/>
        </w:rPr>
        <w:t xml:space="preserve">Spațiul fiscal indicat este destinat pentru acoperirea măsurilor din Agenda de reforme aferentă Planului de creștere al Republicii Moldova, costurilor de politici în domeniul salarizării și pentru necesitățile de contribuție la proectele de investiții capitale în cadrul participării la Platforma de investiții de vecinătate (NIP). </w:t>
      </w:r>
    </w:p>
    <w:p w14:paraId="79A256EB" w14:textId="77777777" w:rsidR="005E15AE" w:rsidRPr="00312485" w:rsidRDefault="005E15AE" w:rsidP="00861FC1">
      <w:pPr>
        <w:ind w:firstLine="567"/>
        <w:rPr>
          <w:noProof/>
          <w:sz w:val="24"/>
          <w:szCs w:val="24"/>
          <w:lang w:val="ro-MD"/>
        </w:rPr>
      </w:pPr>
    </w:p>
    <w:p w14:paraId="0C9AA3F5" w14:textId="0EDD2A65" w:rsidR="009C56BD" w:rsidRPr="00312485" w:rsidRDefault="00362440" w:rsidP="00B31029">
      <w:pPr>
        <w:pStyle w:val="Titlu2"/>
        <w:jc w:val="both"/>
        <w:rPr>
          <w:rFonts w:ascii="Times New Roman" w:hAnsi="Times New Roman"/>
          <w:noProof/>
          <w:sz w:val="24"/>
          <w:szCs w:val="24"/>
          <w:lang w:val="ro-MD"/>
        </w:rPr>
      </w:pPr>
      <w:r w:rsidRPr="00312485">
        <w:rPr>
          <w:rFonts w:ascii="Times New Roman" w:hAnsi="Times New Roman"/>
          <w:sz w:val="24"/>
          <w:szCs w:val="24"/>
          <w:lang w:val="ro-MD"/>
        </w:rPr>
        <w:t>B</w:t>
      </w:r>
      <w:r w:rsidR="003570CA" w:rsidRPr="00312485">
        <w:rPr>
          <w:rFonts w:ascii="Times New Roman" w:hAnsi="Times New Roman"/>
          <w:sz w:val="24"/>
          <w:szCs w:val="24"/>
          <w:lang w:val="ro-MD"/>
        </w:rPr>
        <w:t>.</w:t>
      </w:r>
      <w:r w:rsidR="009C56BD" w:rsidRPr="00312485">
        <w:rPr>
          <w:rFonts w:ascii="Times New Roman" w:hAnsi="Times New Roman"/>
          <w:noProof/>
          <w:sz w:val="24"/>
          <w:szCs w:val="24"/>
          <w:lang w:val="ro-MD"/>
        </w:rPr>
        <w:t xml:space="preserve"> Implicații și priorități ale cadrului de cheltuieli sectoriale</w:t>
      </w:r>
    </w:p>
    <w:p w14:paraId="2390A108" w14:textId="77777777" w:rsidR="009C56BD" w:rsidRPr="00312485" w:rsidRDefault="009C56BD" w:rsidP="009C56BD">
      <w:pPr>
        <w:rPr>
          <w:noProof/>
          <w:lang w:val="ro-MD"/>
        </w:rPr>
      </w:pPr>
    </w:p>
    <w:p w14:paraId="7E7E7E21" w14:textId="77777777" w:rsidR="009C56BD" w:rsidRPr="00312485" w:rsidRDefault="009C56BD" w:rsidP="009C56BD">
      <w:pPr>
        <w:rPr>
          <w:rFonts w:eastAsia="Calibri"/>
          <w:i/>
          <w:noProof/>
          <w:sz w:val="24"/>
          <w:szCs w:val="24"/>
          <w:lang w:val="ro-MD"/>
        </w:rPr>
      </w:pPr>
      <w:r w:rsidRPr="00312485">
        <w:rPr>
          <w:rFonts w:eastAsia="Calibri"/>
          <w:i/>
          <w:noProof/>
          <w:sz w:val="24"/>
          <w:szCs w:val="24"/>
          <w:lang w:val="ro-MD"/>
        </w:rPr>
        <w:t>Evoluția și prognoza cheltuielilor pe grupuri sectoriale pentru anii 2023-2028</w:t>
      </w:r>
    </w:p>
    <w:p w14:paraId="55B9AA1A" w14:textId="48778758" w:rsidR="009C56BD" w:rsidRPr="00312485" w:rsidRDefault="009C56BD" w:rsidP="009C56BD">
      <w:pPr>
        <w:tabs>
          <w:tab w:val="left" w:pos="403"/>
        </w:tabs>
        <w:rPr>
          <w:rFonts w:eastAsia="Calibri"/>
          <w:noProof/>
          <w:sz w:val="24"/>
          <w:szCs w:val="24"/>
          <w:lang w:val="ro-MD"/>
        </w:rPr>
      </w:pPr>
      <w:r w:rsidRPr="00312485">
        <w:rPr>
          <w:rFonts w:eastAsia="Calibri"/>
          <w:noProof/>
          <w:sz w:val="24"/>
          <w:szCs w:val="24"/>
          <w:lang w:val="ro-MD"/>
        </w:rPr>
        <w:t>Tabelul 4.</w:t>
      </w:r>
      <w:r w:rsidR="002A686C" w:rsidRPr="00312485">
        <w:rPr>
          <w:rFonts w:eastAsia="Calibri"/>
          <w:noProof/>
          <w:sz w:val="24"/>
          <w:szCs w:val="24"/>
          <w:lang w:val="ro-MD"/>
        </w:rPr>
        <w:t>2</w:t>
      </w:r>
      <w:r w:rsidRPr="00312485">
        <w:rPr>
          <w:rFonts w:eastAsia="Calibri"/>
          <w:noProof/>
          <w:sz w:val="24"/>
          <w:szCs w:val="24"/>
          <w:lang w:val="ro-MD"/>
        </w:rPr>
        <w:t xml:space="preserve"> rezumă evoluția cheltuielilor în anii 2023-2028 și alocările prognozate pentru CBTM (2026-2028) pe categoriile principale conform clasificării internaționale a funcțiilor guvernamentale (CoFoG).</w:t>
      </w:r>
    </w:p>
    <w:p w14:paraId="4EBF99DC" w14:textId="77777777" w:rsidR="009C56BD" w:rsidRPr="00312485" w:rsidRDefault="009C56BD" w:rsidP="009C56BD">
      <w:pPr>
        <w:ind w:firstLine="720"/>
        <w:jc w:val="right"/>
        <w:rPr>
          <w:rFonts w:eastAsia="Calibri"/>
          <w:b/>
          <w:bCs/>
          <w:noProof/>
          <w:sz w:val="24"/>
          <w:szCs w:val="24"/>
          <w:lang w:val="ro-MD"/>
        </w:rPr>
      </w:pPr>
    </w:p>
    <w:p w14:paraId="277E74C6" w14:textId="7D87F840" w:rsidR="009C56BD" w:rsidRPr="008B3379" w:rsidRDefault="009C56BD" w:rsidP="009C56BD">
      <w:pPr>
        <w:ind w:firstLine="720"/>
        <w:jc w:val="right"/>
        <w:rPr>
          <w:rFonts w:eastAsia="Calibri"/>
          <w:b/>
          <w:bCs/>
          <w:noProof/>
          <w:sz w:val="22"/>
          <w:szCs w:val="24"/>
          <w:lang w:val="ro-MD"/>
        </w:rPr>
      </w:pPr>
      <w:r w:rsidRPr="008B3379">
        <w:rPr>
          <w:rFonts w:eastAsia="Calibri"/>
          <w:b/>
          <w:bCs/>
          <w:noProof/>
          <w:sz w:val="22"/>
          <w:szCs w:val="24"/>
          <w:lang w:val="ro-MD"/>
        </w:rPr>
        <w:t>Tabelul 4.</w:t>
      </w:r>
      <w:r w:rsidR="002A686C" w:rsidRPr="008B3379">
        <w:rPr>
          <w:rFonts w:eastAsia="Calibri"/>
          <w:b/>
          <w:bCs/>
          <w:noProof/>
          <w:sz w:val="22"/>
          <w:szCs w:val="24"/>
          <w:lang w:val="ro-MD"/>
        </w:rPr>
        <w:t>2</w:t>
      </w:r>
    </w:p>
    <w:p w14:paraId="3952A054" w14:textId="77777777" w:rsidR="009C56BD" w:rsidRPr="00312485" w:rsidRDefault="009C56BD" w:rsidP="009C56BD">
      <w:pPr>
        <w:jc w:val="center"/>
        <w:rPr>
          <w:rFonts w:eastAsia="Calibri"/>
          <w:b/>
          <w:noProof/>
          <w:sz w:val="24"/>
          <w:szCs w:val="24"/>
          <w:lang w:val="ro-MD"/>
        </w:rPr>
      </w:pPr>
      <w:r w:rsidRPr="00312485">
        <w:rPr>
          <w:rFonts w:eastAsia="Calibri"/>
          <w:b/>
          <w:noProof/>
          <w:sz w:val="24"/>
          <w:szCs w:val="24"/>
          <w:lang w:val="ro-MD"/>
        </w:rPr>
        <w:t>Cheltuieli pe funcții pe anii 2023-2028</w:t>
      </w:r>
    </w:p>
    <w:p w14:paraId="718AC5A9" w14:textId="4E35C285" w:rsidR="003570CA" w:rsidRPr="00312485" w:rsidRDefault="003570CA" w:rsidP="003570CA">
      <w:pPr>
        <w:ind w:firstLine="0"/>
        <w:jc w:val="center"/>
        <w:rPr>
          <w:b/>
          <w:sz w:val="24"/>
          <w:szCs w:val="24"/>
          <w:lang w:val="ro-MD"/>
        </w:rPr>
      </w:pPr>
    </w:p>
    <w:tbl>
      <w:tblPr>
        <w:tblW w:w="5036" w:type="pct"/>
        <w:tblLayout w:type="fixed"/>
        <w:tblLook w:val="04A0" w:firstRow="1" w:lastRow="0" w:firstColumn="1" w:lastColumn="0" w:noHBand="0" w:noVBand="1"/>
      </w:tblPr>
      <w:tblGrid>
        <w:gridCol w:w="3256"/>
        <w:gridCol w:w="854"/>
        <w:gridCol w:w="854"/>
        <w:gridCol w:w="854"/>
        <w:gridCol w:w="799"/>
        <w:gridCol w:w="854"/>
        <w:gridCol w:w="854"/>
        <w:gridCol w:w="860"/>
      </w:tblGrid>
      <w:tr w:rsidR="003E3F88" w:rsidRPr="00312485" w14:paraId="2E5664F1" w14:textId="77777777" w:rsidTr="002C5304">
        <w:trPr>
          <w:trHeight w:val="300"/>
          <w:tblHeader/>
        </w:trPr>
        <w:tc>
          <w:tcPr>
            <w:tcW w:w="17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27C47" w14:textId="77777777" w:rsidR="003E3F88" w:rsidRPr="00312485" w:rsidRDefault="003E3F88" w:rsidP="003E3F88">
            <w:pPr>
              <w:ind w:firstLine="0"/>
              <w:jc w:val="center"/>
              <w:rPr>
                <w:noProof/>
                <w:sz w:val="16"/>
                <w:szCs w:val="16"/>
                <w:lang w:val="ro-MD"/>
              </w:rPr>
            </w:pPr>
            <w:r w:rsidRPr="00312485">
              <w:rPr>
                <w:noProof/>
                <w:sz w:val="16"/>
                <w:szCs w:val="16"/>
                <w:lang w:val="ro-MD"/>
              </w:rPr>
              <w:t>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66823"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5F755"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E51F2"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2025</w:t>
            </w:r>
          </w:p>
        </w:tc>
        <w:tc>
          <w:tcPr>
            <w:tcW w:w="435" w:type="pct"/>
            <w:tcBorders>
              <w:top w:val="single" w:sz="4" w:space="0" w:color="auto"/>
              <w:left w:val="single" w:sz="4" w:space="0" w:color="auto"/>
              <w:bottom w:val="single" w:sz="4" w:space="0" w:color="auto"/>
              <w:right w:val="single" w:sz="4" w:space="0" w:color="auto"/>
            </w:tcBorders>
          </w:tcPr>
          <w:p w14:paraId="78DA7120"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2CC03"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984CE"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2027</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9419" w14:textId="77777777" w:rsidR="003E3F88" w:rsidRPr="00312485" w:rsidRDefault="003E3F88" w:rsidP="003E3F88">
            <w:pPr>
              <w:ind w:firstLine="0"/>
              <w:jc w:val="center"/>
              <w:rPr>
                <w:b/>
                <w:bCs/>
                <w:noProof/>
                <w:sz w:val="16"/>
                <w:szCs w:val="16"/>
                <w:lang w:val="ro-MD"/>
              </w:rPr>
            </w:pPr>
            <w:r w:rsidRPr="00312485">
              <w:rPr>
                <w:b/>
                <w:bCs/>
                <w:noProof/>
                <w:sz w:val="16"/>
                <w:szCs w:val="16"/>
                <w:lang w:val="ro-MD"/>
              </w:rPr>
              <w:t>2028</w:t>
            </w:r>
          </w:p>
        </w:tc>
      </w:tr>
      <w:tr w:rsidR="003E3F88" w:rsidRPr="00312485" w14:paraId="71145CA7" w14:textId="77777777" w:rsidTr="002C5304">
        <w:trPr>
          <w:trHeight w:val="300"/>
          <w:tblHeader/>
        </w:trPr>
        <w:tc>
          <w:tcPr>
            <w:tcW w:w="1772" w:type="pct"/>
            <w:vMerge/>
            <w:tcBorders>
              <w:top w:val="single" w:sz="4" w:space="0" w:color="auto"/>
              <w:left w:val="single" w:sz="4" w:space="0" w:color="auto"/>
              <w:bottom w:val="single" w:sz="4" w:space="0" w:color="auto"/>
              <w:right w:val="single" w:sz="4" w:space="0" w:color="auto"/>
            </w:tcBorders>
            <w:vAlign w:val="center"/>
            <w:hideMark/>
          </w:tcPr>
          <w:p w14:paraId="436B2DB8" w14:textId="77777777" w:rsidR="003E3F88" w:rsidRPr="00312485" w:rsidRDefault="003E3F88" w:rsidP="003E3F88">
            <w:pPr>
              <w:ind w:firstLine="0"/>
              <w:jc w:val="left"/>
              <w:rPr>
                <w:noProof/>
                <w:sz w:val="16"/>
                <w:szCs w:val="16"/>
                <w:lang w:val="ro-MD"/>
              </w:rPr>
            </w:pP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5C038" w14:textId="77777777" w:rsidR="003E3F88" w:rsidRPr="00312485" w:rsidRDefault="003E3F88" w:rsidP="003E3F88">
            <w:pPr>
              <w:ind w:firstLine="0"/>
              <w:jc w:val="center"/>
              <w:rPr>
                <w:noProof/>
                <w:sz w:val="14"/>
                <w:szCs w:val="14"/>
                <w:lang w:val="ro-MD"/>
              </w:rPr>
            </w:pPr>
            <w:r w:rsidRPr="00312485">
              <w:rPr>
                <w:b/>
                <w:bCs/>
                <w:noProof/>
                <w:sz w:val="14"/>
                <w:szCs w:val="14"/>
                <w:lang w:val="ro-MD"/>
              </w:rPr>
              <w:t>Efectiv</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BC5B1" w14:textId="77777777" w:rsidR="003E3F88" w:rsidRPr="00312485" w:rsidRDefault="003E3F88" w:rsidP="003E3F88">
            <w:pPr>
              <w:ind w:firstLine="0"/>
              <w:jc w:val="center"/>
              <w:rPr>
                <w:noProof/>
                <w:sz w:val="14"/>
                <w:szCs w:val="14"/>
                <w:lang w:val="ro-MD"/>
              </w:rPr>
            </w:pPr>
            <w:r w:rsidRPr="00312485">
              <w:rPr>
                <w:b/>
                <w:bCs/>
                <w:noProof/>
                <w:sz w:val="14"/>
                <w:szCs w:val="14"/>
                <w:lang w:val="ro-MD"/>
              </w:rPr>
              <w:t>Efectiv</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BC443" w14:textId="77777777" w:rsidR="003E3F88" w:rsidRPr="00312485" w:rsidRDefault="003E3F88" w:rsidP="003E3F88">
            <w:pPr>
              <w:ind w:firstLine="0"/>
              <w:jc w:val="center"/>
              <w:rPr>
                <w:b/>
                <w:bCs/>
                <w:noProof/>
                <w:sz w:val="14"/>
                <w:szCs w:val="14"/>
                <w:lang w:val="ro-MD"/>
              </w:rPr>
            </w:pPr>
            <w:r w:rsidRPr="00312485">
              <w:rPr>
                <w:b/>
                <w:bCs/>
                <w:noProof/>
                <w:sz w:val="14"/>
                <w:szCs w:val="14"/>
                <w:lang w:val="ro-MD"/>
              </w:rPr>
              <w:t xml:space="preserve">Aprobat </w:t>
            </w:r>
          </w:p>
        </w:tc>
        <w:tc>
          <w:tcPr>
            <w:tcW w:w="435" w:type="pct"/>
            <w:tcBorders>
              <w:top w:val="single" w:sz="4" w:space="0" w:color="auto"/>
              <w:left w:val="single" w:sz="4" w:space="0" w:color="auto"/>
              <w:bottom w:val="single" w:sz="4" w:space="0" w:color="auto"/>
              <w:right w:val="single" w:sz="4" w:space="0" w:color="auto"/>
            </w:tcBorders>
            <w:vAlign w:val="center"/>
          </w:tcPr>
          <w:p w14:paraId="13F50839" w14:textId="77777777" w:rsidR="003E3F88" w:rsidRPr="00312485" w:rsidRDefault="003E3F88" w:rsidP="009E73C4">
            <w:pPr>
              <w:ind w:left="-113" w:firstLine="0"/>
              <w:jc w:val="center"/>
              <w:rPr>
                <w:b/>
                <w:bCs/>
                <w:noProof/>
                <w:sz w:val="14"/>
                <w:szCs w:val="14"/>
                <w:lang w:val="ro-MD"/>
              </w:rPr>
            </w:pPr>
            <w:r w:rsidRPr="00312485">
              <w:rPr>
                <w:b/>
                <w:bCs/>
                <w:noProof/>
                <w:sz w:val="14"/>
                <w:szCs w:val="14"/>
                <w:lang w:val="ro-MD"/>
              </w:rPr>
              <w:t>Modificat</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929EE" w14:textId="77777777" w:rsidR="003E3F88" w:rsidRPr="00312485" w:rsidRDefault="003E3F88" w:rsidP="003E3F88">
            <w:pPr>
              <w:ind w:firstLine="0"/>
              <w:jc w:val="center"/>
              <w:rPr>
                <w:b/>
                <w:bCs/>
                <w:noProof/>
                <w:sz w:val="14"/>
                <w:szCs w:val="14"/>
                <w:lang w:val="ro-MD"/>
              </w:rPr>
            </w:pPr>
            <w:r w:rsidRPr="00312485">
              <w:rPr>
                <w:b/>
                <w:bCs/>
                <w:noProof/>
                <w:sz w:val="14"/>
                <w:szCs w:val="14"/>
                <w:lang w:val="ro-MD"/>
              </w:rPr>
              <w:t>Prognozat</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A6448" w14:textId="77777777" w:rsidR="003E3F88" w:rsidRPr="00312485" w:rsidRDefault="003E3F88" w:rsidP="003E3F88">
            <w:pPr>
              <w:ind w:firstLine="0"/>
              <w:jc w:val="center"/>
              <w:rPr>
                <w:b/>
                <w:bCs/>
                <w:noProof/>
                <w:sz w:val="14"/>
                <w:szCs w:val="14"/>
                <w:lang w:val="ro-MD"/>
              </w:rPr>
            </w:pPr>
            <w:r w:rsidRPr="00312485">
              <w:rPr>
                <w:b/>
                <w:bCs/>
                <w:noProof/>
                <w:sz w:val="14"/>
                <w:szCs w:val="14"/>
                <w:lang w:val="ro-MD"/>
              </w:rPr>
              <w:t>Prognozat</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5E950" w14:textId="77777777" w:rsidR="003E3F88" w:rsidRPr="00312485" w:rsidRDefault="003E3F88" w:rsidP="003E3F88">
            <w:pPr>
              <w:ind w:firstLine="0"/>
              <w:jc w:val="center"/>
              <w:rPr>
                <w:b/>
                <w:bCs/>
                <w:noProof/>
                <w:sz w:val="14"/>
                <w:szCs w:val="14"/>
                <w:lang w:val="ro-MD"/>
              </w:rPr>
            </w:pPr>
            <w:r w:rsidRPr="00312485">
              <w:rPr>
                <w:b/>
                <w:bCs/>
                <w:noProof/>
                <w:sz w:val="14"/>
                <w:szCs w:val="14"/>
                <w:lang w:val="ro-MD"/>
              </w:rPr>
              <w:t>Prognozat</w:t>
            </w:r>
          </w:p>
        </w:tc>
      </w:tr>
      <w:tr w:rsidR="003E3F88" w:rsidRPr="00312485" w14:paraId="20795A6E" w14:textId="77777777" w:rsidTr="002C5304">
        <w:trPr>
          <w:trHeight w:val="300"/>
        </w:trPr>
        <w:tc>
          <w:tcPr>
            <w:tcW w:w="1772" w:type="pct"/>
            <w:tcBorders>
              <w:top w:val="single" w:sz="4" w:space="0" w:color="auto"/>
              <w:left w:val="single" w:sz="4" w:space="0" w:color="auto"/>
              <w:bottom w:val="single" w:sz="4" w:space="0" w:color="auto"/>
            </w:tcBorders>
          </w:tcPr>
          <w:p w14:paraId="35337485" w14:textId="77777777" w:rsidR="003E3F88" w:rsidRPr="00312485" w:rsidRDefault="003E3F88" w:rsidP="003E3F88">
            <w:pPr>
              <w:ind w:firstLine="0"/>
              <w:jc w:val="center"/>
              <w:rPr>
                <w:noProof/>
                <w:sz w:val="16"/>
                <w:szCs w:val="16"/>
                <w:lang w:val="ro-MD"/>
              </w:rPr>
            </w:pPr>
          </w:p>
        </w:tc>
        <w:tc>
          <w:tcPr>
            <w:tcW w:w="3228" w:type="pct"/>
            <w:gridSpan w:val="7"/>
            <w:tcBorders>
              <w:top w:val="single" w:sz="4" w:space="0" w:color="auto"/>
              <w:bottom w:val="single" w:sz="4" w:space="0" w:color="auto"/>
              <w:right w:val="single" w:sz="4" w:space="0" w:color="auto"/>
            </w:tcBorders>
            <w:shd w:val="clear" w:color="auto" w:fill="auto"/>
            <w:vAlign w:val="center"/>
            <w:hideMark/>
          </w:tcPr>
          <w:p w14:paraId="1209E3EB" w14:textId="77777777" w:rsidR="003E3F88" w:rsidRPr="00312485" w:rsidRDefault="003E3F88" w:rsidP="003E3F88">
            <w:pPr>
              <w:ind w:firstLine="0"/>
              <w:jc w:val="center"/>
              <w:rPr>
                <w:noProof/>
                <w:sz w:val="16"/>
                <w:szCs w:val="16"/>
                <w:lang w:val="ro-MD"/>
              </w:rPr>
            </w:pPr>
            <w:r w:rsidRPr="00312485">
              <w:rPr>
                <w:noProof/>
                <w:sz w:val="16"/>
                <w:szCs w:val="16"/>
                <w:lang w:val="ro-MD"/>
              </w:rPr>
              <w:t>mil. lei</w:t>
            </w:r>
          </w:p>
        </w:tc>
      </w:tr>
      <w:tr w:rsidR="003E3F88" w:rsidRPr="00312485" w14:paraId="325E504E" w14:textId="77777777" w:rsidTr="002C5304">
        <w:trPr>
          <w:trHeight w:val="273"/>
        </w:trPr>
        <w:tc>
          <w:tcPr>
            <w:tcW w:w="17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F004E" w14:textId="77777777" w:rsidR="003E3F88" w:rsidRPr="00312485" w:rsidRDefault="003E3F88" w:rsidP="003E3F88">
            <w:pPr>
              <w:ind w:firstLine="0"/>
              <w:rPr>
                <w:b/>
                <w:bCs/>
                <w:noProof/>
                <w:sz w:val="16"/>
                <w:szCs w:val="16"/>
                <w:lang w:val="ro-MD"/>
              </w:rPr>
            </w:pPr>
            <w:r w:rsidRPr="00312485">
              <w:rPr>
                <w:b/>
                <w:bCs/>
                <w:noProof/>
                <w:sz w:val="16"/>
                <w:szCs w:val="16"/>
                <w:lang w:val="ro-MD"/>
              </w:rPr>
              <w:t>Total cheltuieli (</w:t>
            </w:r>
            <w:r w:rsidRPr="00312485">
              <w:rPr>
                <w:bCs/>
                <w:noProof/>
                <w:sz w:val="16"/>
                <w:szCs w:val="16"/>
                <w:lang w:val="ro-MD"/>
              </w:rPr>
              <w:t>excluzând plățile aferente dobânzilor)</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A215" w14:textId="2EC40B8B" w:rsidR="003E3F88" w:rsidRPr="00312485" w:rsidRDefault="003E3F88" w:rsidP="003E3F88">
            <w:pPr>
              <w:ind w:firstLine="0"/>
              <w:jc w:val="right"/>
              <w:rPr>
                <w:b/>
                <w:bCs/>
                <w:noProof/>
                <w:sz w:val="16"/>
                <w:szCs w:val="16"/>
                <w:lang w:val="ro-MD"/>
              </w:rPr>
            </w:pPr>
            <w:r w:rsidRPr="00312485">
              <w:rPr>
                <w:b/>
                <w:bCs/>
                <w:noProof/>
                <w:sz w:val="16"/>
                <w:szCs w:val="16"/>
                <w:lang w:val="ro-MD"/>
              </w:rPr>
              <w:t>112</w:t>
            </w:r>
            <w:r w:rsidR="00526BE3" w:rsidRPr="00312485">
              <w:rPr>
                <w:b/>
                <w:bCs/>
                <w:noProof/>
                <w:sz w:val="16"/>
                <w:szCs w:val="16"/>
                <w:lang w:val="ro-MD"/>
              </w:rPr>
              <w:t xml:space="preserve"> </w:t>
            </w:r>
            <w:r w:rsidRPr="00312485">
              <w:rPr>
                <w:b/>
                <w:bCs/>
                <w:noProof/>
                <w:sz w:val="16"/>
                <w:szCs w:val="16"/>
                <w:lang w:val="ro-MD"/>
              </w:rPr>
              <w:t>435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3653" w14:textId="25B9829E" w:rsidR="003E3F88" w:rsidRPr="00312485" w:rsidRDefault="003E3F88" w:rsidP="003E3F88">
            <w:pPr>
              <w:ind w:firstLine="0"/>
              <w:jc w:val="right"/>
              <w:rPr>
                <w:b/>
                <w:bCs/>
                <w:noProof/>
                <w:sz w:val="16"/>
                <w:szCs w:val="16"/>
                <w:lang w:val="ro-MD"/>
              </w:rPr>
            </w:pPr>
            <w:r w:rsidRPr="00312485">
              <w:rPr>
                <w:b/>
                <w:bCs/>
                <w:noProof/>
                <w:sz w:val="16"/>
                <w:szCs w:val="16"/>
                <w:lang w:val="ro-MD"/>
              </w:rPr>
              <w:t>118</w:t>
            </w:r>
            <w:r w:rsidR="00526BE3" w:rsidRPr="00312485">
              <w:rPr>
                <w:b/>
                <w:bCs/>
                <w:noProof/>
                <w:sz w:val="16"/>
                <w:szCs w:val="16"/>
                <w:lang w:val="ro-MD"/>
              </w:rPr>
              <w:t xml:space="preserve"> </w:t>
            </w:r>
            <w:r w:rsidRPr="00312485">
              <w:rPr>
                <w:b/>
                <w:bCs/>
                <w:noProof/>
                <w:sz w:val="16"/>
                <w:szCs w:val="16"/>
                <w:lang w:val="ro-MD"/>
              </w:rPr>
              <w:t>516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9072A" w14:textId="55D9E58D" w:rsidR="003E3F88" w:rsidRPr="00312485" w:rsidRDefault="003E3F88" w:rsidP="003E3F88">
            <w:pPr>
              <w:ind w:firstLine="0"/>
              <w:jc w:val="right"/>
              <w:rPr>
                <w:b/>
                <w:bCs/>
                <w:noProof/>
                <w:sz w:val="16"/>
                <w:szCs w:val="16"/>
                <w:lang w:val="ro-MD"/>
              </w:rPr>
            </w:pPr>
            <w:r w:rsidRPr="00312485">
              <w:rPr>
                <w:b/>
                <w:bCs/>
                <w:noProof/>
                <w:sz w:val="16"/>
                <w:szCs w:val="16"/>
                <w:lang w:val="ro-MD"/>
              </w:rPr>
              <w:t>128</w:t>
            </w:r>
            <w:r w:rsidR="00526BE3" w:rsidRPr="00312485">
              <w:rPr>
                <w:b/>
                <w:bCs/>
                <w:noProof/>
                <w:sz w:val="16"/>
                <w:szCs w:val="16"/>
                <w:lang w:val="ro-MD"/>
              </w:rPr>
              <w:t xml:space="preserve"> </w:t>
            </w:r>
            <w:r w:rsidRPr="00312485">
              <w:rPr>
                <w:b/>
                <w:bCs/>
                <w:noProof/>
                <w:sz w:val="16"/>
                <w:szCs w:val="16"/>
                <w:lang w:val="ro-MD"/>
              </w:rPr>
              <w:t>544</w:t>
            </w:r>
          </w:p>
        </w:tc>
        <w:tc>
          <w:tcPr>
            <w:tcW w:w="435" w:type="pct"/>
            <w:tcBorders>
              <w:top w:val="single" w:sz="4" w:space="0" w:color="auto"/>
              <w:left w:val="single" w:sz="4" w:space="0" w:color="auto"/>
              <w:bottom w:val="single" w:sz="4" w:space="0" w:color="auto"/>
              <w:right w:val="single" w:sz="4" w:space="0" w:color="auto"/>
            </w:tcBorders>
            <w:vAlign w:val="center"/>
          </w:tcPr>
          <w:p w14:paraId="1F874BD2" w14:textId="7D0F8B25" w:rsidR="003E3F88" w:rsidRPr="00312485" w:rsidRDefault="003E3F88" w:rsidP="003E3F88">
            <w:pPr>
              <w:ind w:firstLine="0"/>
              <w:jc w:val="right"/>
              <w:rPr>
                <w:b/>
                <w:bCs/>
                <w:noProof/>
                <w:sz w:val="16"/>
                <w:szCs w:val="16"/>
                <w:lang w:val="ro-MD"/>
              </w:rPr>
            </w:pPr>
            <w:r w:rsidRPr="00312485">
              <w:rPr>
                <w:b/>
                <w:bCs/>
                <w:noProof/>
                <w:sz w:val="16"/>
                <w:szCs w:val="16"/>
                <w:lang w:val="ro-MD"/>
              </w:rPr>
              <w:t>137</w:t>
            </w:r>
            <w:r w:rsidR="00526BE3" w:rsidRPr="00312485">
              <w:rPr>
                <w:b/>
                <w:bCs/>
                <w:noProof/>
                <w:sz w:val="16"/>
                <w:szCs w:val="16"/>
                <w:lang w:val="ro-MD"/>
              </w:rPr>
              <w:t xml:space="preserve"> </w:t>
            </w:r>
            <w:r w:rsidRPr="00312485">
              <w:rPr>
                <w:b/>
                <w:bCs/>
                <w:noProof/>
                <w:sz w:val="16"/>
                <w:szCs w:val="16"/>
                <w:lang w:val="ro-MD"/>
              </w:rPr>
              <w:t>280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487EA" w14:textId="2CFE5533" w:rsidR="003E3F88" w:rsidRPr="00312485" w:rsidRDefault="003E3F88" w:rsidP="003E3F88">
            <w:pPr>
              <w:ind w:firstLine="0"/>
              <w:jc w:val="right"/>
              <w:rPr>
                <w:b/>
                <w:bCs/>
                <w:noProof/>
                <w:sz w:val="16"/>
                <w:szCs w:val="16"/>
                <w:lang w:val="ro-MD"/>
              </w:rPr>
            </w:pPr>
            <w:r w:rsidRPr="00312485">
              <w:rPr>
                <w:b/>
                <w:bCs/>
                <w:noProof/>
                <w:sz w:val="16"/>
                <w:szCs w:val="16"/>
                <w:lang w:val="ro-MD"/>
              </w:rPr>
              <w:t>146</w:t>
            </w:r>
            <w:r w:rsidR="00526BE3" w:rsidRPr="00312485">
              <w:rPr>
                <w:b/>
                <w:bCs/>
                <w:noProof/>
                <w:sz w:val="16"/>
                <w:szCs w:val="16"/>
                <w:lang w:val="ro-MD"/>
              </w:rPr>
              <w:t xml:space="preserve"> </w:t>
            </w:r>
            <w:r w:rsidRPr="00312485">
              <w:rPr>
                <w:b/>
                <w:bCs/>
                <w:noProof/>
                <w:sz w:val="16"/>
                <w:szCs w:val="16"/>
                <w:lang w:val="ro-MD"/>
              </w:rPr>
              <w:t>263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EE092" w14:textId="3B146289" w:rsidR="003E3F88" w:rsidRPr="00312485" w:rsidRDefault="003E3F88" w:rsidP="003E3F88">
            <w:pPr>
              <w:ind w:firstLine="0"/>
              <w:jc w:val="right"/>
              <w:rPr>
                <w:b/>
                <w:bCs/>
                <w:noProof/>
                <w:sz w:val="16"/>
                <w:szCs w:val="16"/>
                <w:lang w:val="ro-MD"/>
              </w:rPr>
            </w:pPr>
            <w:r w:rsidRPr="00312485">
              <w:rPr>
                <w:b/>
                <w:bCs/>
                <w:noProof/>
                <w:sz w:val="16"/>
                <w:szCs w:val="16"/>
                <w:lang w:val="ro-MD"/>
              </w:rPr>
              <w:t>158</w:t>
            </w:r>
            <w:r w:rsidR="00526BE3" w:rsidRPr="00312485">
              <w:rPr>
                <w:b/>
                <w:bCs/>
                <w:noProof/>
                <w:sz w:val="16"/>
                <w:szCs w:val="16"/>
                <w:lang w:val="ro-MD"/>
              </w:rPr>
              <w:t xml:space="preserve"> </w:t>
            </w:r>
            <w:r w:rsidRPr="00312485">
              <w:rPr>
                <w:b/>
                <w:bCs/>
                <w:noProof/>
                <w:sz w:val="16"/>
                <w:szCs w:val="16"/>
                <w:lang w:val="ro-MD"/>
              </w:rPr>
              <w:t>478</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9FC3B" w14:textId="6441B8AA" w:rsidR="003E3F88" w:rsidRPr="00312485" w:rsidRDefault="003E3F88" w:rsidP="003E3F88">
            <w:pPr>
              <w:ind w:firstLine="0"/>
              <w:jc w:val="right"/>
              <w:rPr>
                <w:b/>
                <w:bCs/>
                <w:noProof/>
                <w:sz w:val="16"/>
                <w:szCs w:val="16"/>
                <w:lang w:val="ro-MD"/>
              </w:rPr>
            </w:pPr>
            <w:r w:rsidRPr="00312485">
              <w:rPr>
                <w:b/>
                <w:bCs/>
                <w:noProof/>
                <w:sz w:val="16"/>
                <w:szCs w:val="16"/>
                <w:lang w:val="ro-MD"/>
              </w:rPr>
              <w:t>167</w:t>
            </w:r>
            <w:r w:rsidR="00526BE3" w:rsidRPr="00312485">
              <w:rPr>
                <w:b/>
                <w:bCs/>
                <w:noProof/>
                <w:sz w:val="16"/>
                <w:szCs w:val="16"/>
                <w:lang w:val="ro-MD"/>
              </w:rPr>
              <w:t xml:space="preserve"> </w:t>
            </w:r>
            <w:r w:rsidRPr="00312485">
              <w:rPr>
                <w:b/>
                <w:bCs/>
                <w:noProof/>
                <w:sz w:val="16"/>
                <w:szCs w:val="16"/>
                <w:lang w:val="ro-MD"/>
              </w:rPr>
              <w:t>172</w:t>
            </w:r>
          </w:p>
        </w:tc>
      </w:tr>
      <w:tr w:rsidR="003E3F88" w:rsidRPr="00312485" w14:paraId="7EED23DF" w14:textId="77777777" w:rsidTr="002C5304">
        <w:trPr>
          <w:trHeight w:val="465"/>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73B9753"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Servicii de stat cu destinație generală (excluzând plățile aferente dobânzilor)</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946EE" w14:textId="66A48D5E" w:rsidR="003E3F88" w:rsidRPr="00312485" w:rsidRDefault="003E3F88" w:rsidP="003E3F88">
            <w:pPr>
              <w:ind w:firstLine="0"/>
              <w:jc w:val="right"/>
              <w:rPr>
                <w:noProof/>
                <w:sz w:val="16"/>
                <w:szCs w:val="16"/>
                <w:lang w:val="ro-MD"/>
              </w:rPr>
            </w:pPr>
            <w:r w:rsidRPr="00312485">
              <w:rPr>
                <w:noProof/>
                <w:sz w:val="16"/>
                <w:szCs w:val="16"/>
                <w:lang w:val="ro-MD"/>
              </w:rPr>
              <w:t>6</w:t>
            </w:r>
            <w:r w:rsidR="00C40C8E" w:rsidRPr="00312485">
              <w:rPr>
                <w:noProof/>
                <w:sz w:val="16"/>
                <w:szCs w:val="16"/>
                <w:lang w:val="ro-MD"/>
              </w:rPr>
              <w:t xml:space="preserve"> </w:t>
            </w:r>
            <w:r w:rsidRPr="00312485">
              <w:rPr>
                <w:noProof/>
                <w:sz w:val="16"/>
                <w:szCs w:val="16"/>
                <w:lang w:val="ro-MD"/>
              </w:rPr>
              <w:t>065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1B5C" w14:textId="04536409" w:rsidR="003E3F88" w:rsidRPr="00312485" w:rsidRDefault="003E3F88" w:rsidP="003E3F88">
            <w:pPr>
              <w:ind w:firstLine="0"/>
              <w:jc w:val="right"/>
              <w:rPr>
                <w:noProof/>
                <w:sz w:val="16"/>
                <w:szCs w:val="16"/>
                <w:lang w:val="ro-MD"/>
              </w:rPr>
            </w:pPr>
            <w:r w:rsidRPr="00312485">
              <w:rPr>
                <w:noProof/>
                <w:sz w:val="16"/>
                <w:szCs w:val="16"/>
                <w:lang w:val="ro-MD"/>
              </w:rPr>
              <w:t>6</w:t>
            </w:r>
            <w:r w:rsidR="00C40C8E" w:rsidRPr="00312485">
              <w:rPr>
                <w:noProof/>
                <w:sz w:val="16"/>
                <w:szCs w:val="16"/>
                <w:lang w:val="ro-MD"/>
              </w:rPr>
              <w:t xml:space="preserve"> </w:t>
            </w:r>
            <w:r w:rsidRPr="00312485">
              <w:rPr>
                <w:noProof/>
                <w:sz w:val="16"/>
                <w:szCs w:val="16"/>
                <w:lang w:val="ro-MD"/>
              </w:rPr>
              <w:t>667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7EDA" w14:textId="641778C0" w:rsidR="003E3F88" w:rsidRPr="00312485" w:rsidRDefault="003E3F88" w:rsidP="003E3F88">
            <w:pPr>
              <w:ind w:firstLine="0"/>
              <w:jc w:val="right"/>
              <w:rPr>
                <w:noProof/>
                <w:sz w:val="16"/>
                <w:szCs w:val="16"/>
                <w:lang w:val="ro-MD"/>
              </w:rPr>
            </w:pPr>
            <w:r w:rsidRPr="00312485">
              <w:rPr>
                <w:noProof/>
                <w:sz w:val="16"/>
                <w:szCs w:val="16"/>
                <w:lang w:val="ro-MD"/>
              </w:rPr>
              <w:t>8</w:t>
            </w:r>
            <w:r w:rsidR="00C40C8E" w:rsidRPr="00312485">
              <w:rPr>
                <w:noProof/>
                <w:sz w:val="16"/>
                <w:szCs w:val="16"/>
                <w:lang w:val="ro-MD"/>
              </w:rPr>
              <w:t xml:space="preserve"> </w:t>
            </w:r>
            <w:r w:rsidRPr="00312485">
              <w:rPr>
                <w:noProof/>
                <w:sz w:val="16"/>
                <w:szCs w:val="16"/>
                <w:lang w:val="ro-MD"/>
              </w:rPr>
              <w:t>616</w:t>
            </w:r>
          </w:p>
        </w:tc>
        <w:tc>
          <w:tcPr>
            <w:tcW w:w="435" w:type="pct"/>
            <w:tcBorders>
              <w:top w:val="single" w:sz="4" w:space="0" w:color="auto"/>
              <w:left w:val="single" w:sz="4" w:space="0" w:color="auto"/>
              <w:bottom w:val="single" w:sz="4" w:space="0" w:color="auto"/>
              <w:right w:val="single" w:sz="4" w:space="0" w:color="auto"/>
            </w:tcBorders>
            <w:vAlign w:val="center"/>
          </w:tcPr>
          <w:p w14:paraId="4FC8DB03" w14:textId="123A9C7E" w:rsidR="003E3F88" w:rsidRPr="00312485" w:rsidRDefault="003E3F88" w:rsidP="003E3F88">
            <w:pPr>
              <w:ind w:firstLine="0"/>
              <w:jc w:val="right"/>
              <w:rPr>
                <w:noProof/>
                <w:sz w:val="16"/>
                <w:szCs w:val="16"/>
                <w:lang w:val="ro-MD"/>
              </w:rPr>
            </w:pPr>
            <w:r w:rsidRPr="00312485">
              <w:rPr>
                <w:noProof/>
                <w:sz w:val="16"/>
                <w:szCs w:val="16"/>
                <w:lang w:val="ro-MD"/>
              </w:rPr>
              <w:t>9</w:t>
            </w:r>
            <w:r w:rsidR="00C40C8E" w:rsidRPr="00312485">
              <w:rPr>
                <w:noProof/>
                <w:sz w:val="16"/>
                <w:szCs w:val="16"/>
                <w:lang w:val="ro-MD"/>
              </w:rPr>
              <w:t xml:space="preserve"> </w:t>
            </w:r>
            <w:r w:rsidRPr="00312485">
              <w:rPr>
                <w:noProof/>
                <w:sz w:val="16"/>
                <w:szCs w:val="16"/>
                <w:lang w:val="ro-MD"/>
              </w:rPr>
              <w:t>372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6F255" w14:textId="0B46321C" w:rsidR="003E3F88" w:rsidRPr="00312485" w:rsidRDefault="003E3F88" w:rsidP="003E3F88">
            <w:pPr>
              <w:ind w:firstLine="0"/>
              <w:jc w:val="right"/>
              <w:rPr>
                <w:noProof/>
                <w:sz w:val="16"/>
                <w:szCs w:val="16"/>
                <w:lang w:val="ro-MD"/>
              </w:rPr>
            </w:pPr>
            <w:r w:rsidRPr="00312485">
              <w:rPr>
                <w:noProof/>
                <w:sz w:val="16"/>
                <w:szCs w:val="16"/>
                <w:lang w:val="ro-MD"/>
              </w:rPr>
              <w:t>9</w:t>
            </w:r>
            <w:r w:rsidR="00C40C8E" w:rsidRPr="00312485">
              <w:rPr>
                <w:noProof/>
                <w:sz w:val="16"/>
                <w:szCs w:val="16"/>
                <w:lang w:val="ro-MD"/>
              </w:rPr>
              <w:t xml:space="preserve"> </w:t>
            </w:r>
            <w:r w:rsidRPr="00312485">
              <w:rPr>
                <w:noProof/>
                <w:sz w:val="16"/>
                <w:szCs w:val="16"/>
                <w:lang w:val="ro-MD"/>
              </w:rPr>
              <w:t>221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B8477" w14:textId="2838A4CE" w:rsidR="003E3F88" w:rsidRPr="00312485" w:rsidRDefault="003E3F88" w:rsidP="003E3F88">
            <w:pPr>
              <w:ind w:firstLine="0"/>
              <w:jc w:val="right"/>
              <w:rPr>
                <w:noProof/>
                <w:sz w:val="16"/>
                <w:szCs w:val="16"/>
                <w:lang w:val="ro-MD"/>
              </w:rPr>
            </w:pPr>
            <w:r w:rsidRPr="00312485">
              <w:rPr>
                <w:noProof/>
                <w:sz w:val="16"/>
                <w:szCs w:val="16"/>
                <w:lang w:val="ro-MD"/>
              </w:rPr>
              <w:t>9</w:t>
            </w:r>
            <w:r w:rsidR="00C40C8E" w:rsidRPr="00312485">
              <w:rPr>
                <w:noProof/>
                <w:sz w:val="16"/>
                <w:szCs w:val="16"/>
                <w:lang w:val="ro-MD"/>
              </w:rPr>
              <w:t xml:space="preserve"> </w:t>
            </w:r>
            <w:r w:rsidRPr="00312485">
              <w:rPr>
                <w:noProof/>
                <w:sz w:val="16"/>
                <w:szCs w:val="16"/>
                <w:lang w:val="ro-MD"/>
              </w:rPr>
              <w:t>674</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9E0D" w14:textId="5E74E5D1" w:rsidR="003E3F88" w:rsidRPr="00312485" w:rsidRDefault="003E3F88" w:rsidP="003E3F88">
            <w:pPr>
              <w:ind w:firstLine="0"/>
              <w:jc w:val="right"/>
              <w:rPr>
                <w:noProof/>
                <w:sz w:val="16"/>
                <w:szCs w:val="16"/>
                <w:lang w:val="ro-MD"/>
              </w:rPr>
            </w:pPr>
            <w:r w:rsidRPr="00312485">
              <w:rPr>
                <w:noProof/>
                <w:sz w:val="16"/>
                <w:szCs w:val="16"/>
                <w:lang w:val="ro-MD"/>
              </w:rPr>
              <w:t>9</w:t>
            </w:r>
            <w:r w:rsidR="00C40C8E" w:rsidRPr="00312485">
              <w:rPr>
                <w:noProof/>
                <w:sz w:val="16"/>
                <w:szCs w:val="16"/>
                <w:lang w:val="ro-MD"/>
              </w:rPr>
              <w:t xml:space="preserve"> </w:t>
            </w:r>
            <w:r w:rsidRPr="00312485">
              <w:rPr>
                <w:noProof/>
                <w:sz w:val="16"/>
                <w:szCs w:val="16"/>
                <w:lang w:val="ro-MD"/>
              </w:rPr>
              <w:t>963</w:t>
            </w:r>
          </w:p>
        </w:tc>
      </w:tr>
      <w:tr w:rsidR="003E3F88" w:rsidRPr="00312485" w14:paraId="35D55E4B"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A862954"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Apărare națională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C7D84" w14:textId="44A700FB"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530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8106A" w14:textId="38A55D6D"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778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75B9" w14:textId="7BC5018A"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787</w:t>
            </w:r>
          </w:p>
        </w:tc>
        <w:tc>
          <w:tcPr>
            <w:tcW w:w="435" w:type="pct"/>
            <w:tcBorders>
              <w:top w:val="single" w:sz="4" w:space="0" w:color="auto"/>
              <w:left w:val="single" w:sz="4" w:space="0" w:color="auto"/>
              <w:bottom w:val="single" w:sz="4" w:space="0" w:color="auto"/>
              <w:right w:val="single" w:sz="4" w:space="0" w:color="auto"/>
            </w:tcBorders>
            <w:vAlign w:val="center"/>
          </w:tcPr>
          <w:p w14:paraId="204088C6" w14:textId="60D25A47"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841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BE41A" w14:textId="1D4AFD73"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905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A0EC" w14:textId="12A38A97"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906</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C51A7" w14:textId="289C4938"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907</w:t>
            </w:r>
          </w:p>
        </w:tc>
      </w:tr>
      <w:tr w:rsidR="003E3F88" w:rsidRPr="00312485" w14:paraId="29D05C89"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58F28EE"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Ordine publică și securitate națională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20973" w14:textId="464F5819" w:rsidR="003E3F88" w:rsidRPr="00312485" w:rsidRDefault="003E3F88" w:rsidP="003E3F88">
            <w:pPr>
              <w:ind w:firstLine="0"/>
              <w:jc w:val="right"/>
              <w:rPr>
                <w:noProof/>
                <w:sz w:val="16"/>
                <w:szCs w:val="16"/>
                <w:lang w:val="ro-MD"/>
              </w:rPr>
            </w:pPr>
            <w:r w:rsidRPr="00312485">
              <w:rPr>
                <w:noProof/>
                <w:sz w:val="16"/>
                <w:szCs w:val="16"/>
                <w:lang w:val="ro-MD"/>
              </w:rPr>
              <w:t>6</w:t>
            </w:r>
            <w:r w:rsidR="00B04427" w:rsidRPr="00312485">
              <w:rPr>
                <w:noProof/>
                <w:sz w:val="16"/>
                <w:szCs w:val="16"/>
                <w:lang w:val="ro-MD"/>
              </w:rPr>
              <w:t xml:space="preserve"> </w:t>
            </w:r>
            <w:r w:rsidRPr="00312485">
              <w:rPr>
                <w:noProof/>
                <w:sz w:val="16"/>
                <w:szCs w:val="16"/>
                <w:lang w:val="ro-MD"/>
              </w:rPr>
              <w:t>711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17C8F" w14:textId="69223E52" w:rsidR="003E3F88" w:rsidRPr="00312485" w:rsidRDefault="003E3F88" w:rsidP="003E3F88">
            <w:pPr>
              <w:ind w:firstLine="0"/>
              <w:jc w:val="right"/>
              <w:rPr>
                <w:noProof/>
                <w:sz w:val="16"/>
                <w:szCs w:val="16"/>
                <w:lang w:val="ro-MD"/>
              </w:rPr>
            </w:pPr>
            <w:r w:rsidRPr="00312485">
              <w:rPr>
                <w:noProof/>
                <w:sz w:val="16"/>
                <w:szCs w:val="16"/>
                <w:lang w:val="ro-MD"/>
              </w:rPr>
              <w:t>7</w:t>
            </w:r>
            <w:r w:rsidR="00B04427" w:rsidRPr="00312485">
              <w:rPr>
                <w:noProof/>
                <w:sz w:val="16"/>
                <w:szCs w:val="16"/>
                <w:lang w:val="ro-MD"/>
              </w:rPr>
              <w:t xml:space="preserve"> </w:t>
            </w:r>
            <w:r w:rsidRPr="00312485">
              <w:rPr>
                <w:noProof/>
                <w:sz w:val="16"/>
                <w:szCs w:val="16"/>
                <w:lang w:val="ro-MD"/>
              </w:rPr>
              <w:t>135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4567C" w14:textId="4EBCA3A0" w:rsidR="003E3F88" w:rsidRPr="00312485" w:rsidRDefault="003E3F88" w:rsidP="003E3F88">
            <w:pPr>
              <w:ind w:firstLine="0"/>
              <w:jc w:val="right"/>
              <w:rPr>
                <w:noProof/>
                <w:sz w:val="16"/>
                <w:szCs w:val="16"/>
                <w:lang w:val="ro-MD"/>
              </w:rPr>
            </w:pPr>
            <w:r w:rsidRPr="00312485">
              <w:rPr>
                <w:noProof/>
                <w:sz w:val="16"/>
                <w:szCs w:val="16"/>
                <w:lang w:val="ro-MD"/>
              </w:rPr>
              <w:t>7</w:t>
            </w:r>
            <w:r w:rsidR="00B04427" w:rsidRPr="00312485">
              <w:rPr>
                <w:noProof/>
                <w:sz w:val="16"/>
                <w:szCs w:val="16"/>
                <w:lang w:val="ro-MD"/>
              </w:rPr>
              <w:t xml:space="preserve"> </w:t>
            </w:r>
            <w:r w:rsidRPr="00312485">
              <w:rPr>
                <w:noProof/>
                <w:sz w:val="16"/>
                <w:szCs w:val="16"/>
                <w:lang w:val="ro-MD"/>
              </w:rPr>
              <w:t>953</w:t>
            </w:r>
          </w:p>
        </w:tc>
        <w:tc>
          <w:tcPr>
            <w:tcW w:w="435" w:type="pct"/>
            <w:tcBorders>
              <w:top w:val="single" w:sz="4" w:space="0" w:color="auto"/>
              <w:left w:val="single" w:sz="4" w:space="0" w:color="auto"/>
              <w:bottom w:val="single" w:sz="4" w:space="0" w:color="auto"/>
              <w:right w:val="single" w:sz="4" w:space="0" w:color="auto"/>
            </w:tcBorders>
            <w:vAlign w:val="center"/>
          </w:tcPr>
          <w:p w14:paraId="4B535C8A" w14:textId="08192D24" w:rsidR="003E3F88" w:rsidRPr="00312485" w:rsidRDefault="003E3F88" w:rsidP="003E3F88">
            <w:pPr>
              <w:ind w:firstLine="0"/>
              <w:jc w:val="right"/>
              <w:rPr>
                <w:noProof/>
                <w:sz w:val="16"/>
                <w:szCs w:val="16"/>
                <w:lang w:val="ro-MD"/>
              </w:rPr>
            </w:pPr>
            <w:r w:rsidRPr="00312485">
              <w:rPr>
                <w:noProof/>
                <w:sz w:val="16"/>
                <w:szCs w:val="16"/>
                <w:lang w:val="ro-MD"/>
              </w:rPr>
              <w:t>7</w:t>
            </w:r>
            <w:r w:rsidR="00B04427" w:rsidRPr="00312485">
              <w:rPr>
                <w:noProof/>
                <w:sz w:val="16"/>
                <w:szCs w:val="16"/>
                <w:lang w:val="ro-MD"/>
              </w:rPr>
              <w:t xml:space="preserve"> </w:t>
            </w:r>
            <w:r w:rsidRPr="00312485">
              <w:rPr>
                <w:noProof/>
                <w:sz w:val="16"/>
                <w:szCs w:val="16"/>
                <w:lang w:val="ro-MD"/>
              </w:rPr>
              <w:t>981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1F5D8" w14:textId="51925FEF" w:rsidR="003E3F88" w:rsidRPr="00312485" w:rsidRDefault="003E3F88" w:rsidP="003E3F88">
            <w:pPr>
              <w:ind w:firstLine="0"/>
              <w:jc w:val="right"/>
              <w:rPr>
                <w:noProof/>
                <w:sz w:val="16"/>
                <w:szCs w:val="16"/>
                <w:lang w:val="ro-MD"/>
              </w:rPr>
            </w:pPr>
            <w:r w:rsidRPr="00312485">
              <w:rPr>
                <w:noProof/>
                <w:sz w:val="16"/>
                <w:szCs w:val="16"/>
                <w:lang w:val="ro-MD"/>
              </w:rPr>
              <w:t>8</w:t>
            </w:r>
            <w:r w:rsidR="00B04427" w:rsidRPr="00312485">
              <w:rPr>
                <w:noProof/>
                <w:sz w:val="16"/>
                <w:szCs w:val="16"/>
                <w:lang w:val="ro-MD"/>
              </w:rPr>
              <w:t xml:space="preserve"> </w:t>
            </w:r>
            <w:r w:rsidRPr="00312485">
              <w:rPr>
                <w:noProof/>
                <w:sz w:val="16"/>
                <w:szCs w:val="16"/>
                <w:lang w:val="ro-MD"/>
              </w:rPr>
              <w:t>998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145E5" w14:textId="28493043" w:rsidR="003E3F88" w:rsidRPr="00312485" w:rsidRDefault="003E3F88" w:rsidP="003E3F88">
            <w:pPr>
              <w:ind w:firstLine="0"/>
              <w:jc w:val="right"/>
              <w:rPr>
                <w:noProof/>
                <w:sz w:val="16"/>
                <w:szCs w:val="16"/>
                <w:lang w:val="ro-MD"/>
              </w:rPr>
            </w:pPr>
            <w:r w:rsidRPr="00312485">
              <w:rPr>
                <w:noProof/>
                <w:sz w:val="16"/>
                <w:szCs w:val="16"/>
                <w:lang w:val="ro-MD"/>
              </w:rPr>
              <w:t>8</w:t>
            </w:r>
            <w:r w:rsidR="00B04427" w:rsidRPr="00312485">
              <w:rPr>
                <w:noProof/>
                <w:sz w:val="16"/>
                <w:szCs w:val="16"/>
                <w:lang w:val="ro-MD"/>
              </w:rPr>
              <w:t xml:space="preserve"> </w:t>
            </w:r>
            <w:r w:rsidRPr="00312485">
              <w:rPr>
                <w:noProof/>
                <w:sz w:val="16"/>
                <w:szCs w:val="16"/>
                <w:lang w:val="ro-MD"/>
              </w:rPr>
              <w:t>865</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347A4" w14:textId="70C4E83B" w:rsidR="003E3F88" w:rsidRPr="00312485" w:rsidRDefault="003E3F88" w:rsidP="003E3F88">
            <w:pPr>
              <w:ind w:firstLine="0"/>
              <w:jc w:val="right"/>
              <w:rPr>
                <w:noProof/>
                <w:sz w:val="16"/>
                <w:szCs w:val="16"/>
                <w:lang w:val="ro-MD"/>
              </w:rPr>
            </w:pPr>
            <w:r w:rsidRPr="00312485">
              <w:rPr>
                <w:noProof/>
                <w:sz w:val="16"/>
                <w:szCs w:val="16"/>
                <w:lang w:val="ro-MD"/>
              </w:rPr>
              <w:t>8</w:t>
            </w:r>
            <w:r w:rsidR="00B04427" w:rsidRPr="00312485">
              <w:rPr>
                <w:noProof/>
                <w:sz w:val="16"/>
                <w:szCs w:val="16"/>
                <w:lang w:val="ro-MD"/>
              </w:rPr>
              <w:t xml:space="preserve"> </w:t>
            </w:r>
            <w:r w:rsidRPr="00312485">
              <w:rPr>
                <w:noProof/>
                <w:sz w:val="16"/>
                <w:szCs w:val="16"/>
                <w:lang w:val="ro-MD"/>
              </w:rPr>
              <w:t>741</w:t>
            </w:r>
          </w:p>
        </w:tc>
      </w:tr>
      <w:tr w:rsidR="003E3F88" w:rsidRPr="00312485" w14:paraId="4DF96612"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7AB435"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Servicii în domeniul economiei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03730" w14:textId="755DD1E9" w:rsidR="003E3F88" w:rsidRPr="00312485" w:rsidRDefault="003E3F88" w:rsidP="003E3F88">
            <w:pPr>
              <w:ind w:firstLine="0"/>
              <w:jc w:val="right"/>
              <w:rPr>
                <w:noProof/>
                <w:sz w:val="16"/>
                <w:szCs w:val="16"/>
                <w:lang w:val="ro-MD"/>
              </w:rPr>
            </w:pPr>
            <w:r w:rsidRPr="00312485">
              <w:rPr>
                <w:noProof/>
                <w:sz w:val="16"/>
                <w:szCs w:val="16"/>
                <w:lang w:val="ro-MD"/>
              </w:rPr>
              <w:t>11</w:t>
            </w:r>
            <w:r w:rsidR="00B04427" w:rsidRPr="00312485">
              <w:rPr>
                <w:noProof/>
                <w:sz w:val="16"/>
                <w:szCs w:val="16"/>
                <w:lang w:val="ro-MD"/>
              </w:rPr>
              <w:t xml:space="preserve"> </w:t>
            </w:r>
            <w:r w:rsidRPr="00312485">
              <w:rPr>
                <w:noProof/>
                <w:sz w:val="16"/>
                <w:szCs w:val="16"/>
                <w:lang w:val="ro-MD"/>
              </w:rPr>
              <w:t>265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1EF6D" w14:textId="53CAE842" w:rsidR="003E3F88" w:rsidRPr="00312485" w:rsidRDefault="003E3F88" w:rsidP="003E3F88">
            <w:pPr>
              <w:ind w:firstLine="0"/>
              <w:jc w:val="right"/>
              <w:rPr>
                <w:noProof/>
                <w:sz w:val="16"/>
                <w:szCs w:val="16"/>
                <w:lang w:val="ro-MD"/>
              </w:rPr>
            </w:pPr>
            <w:r w:rsidRPr="00312485">
              <w:rPr>
                <w:noProof/>
                <w:sz w:val="16"/>
                <w:szCs w:val="16"/>
                <w:lang w:val="ro-MD"/>
              </w:rPr>
              <w:t>11</w:t>
            </w:r>
            <w:r w:rsidR="00B04427" w:rsidRPr="00312485">
              <w:rPr>
                <w:noProof/>
                <w:sz w:val="16"/>
                <w:szCs w:val="16"/>
                <w:lang w:val="ro-MD"/>
              </w:rPr>
              <w:t xml:space="preserve"> </w:t>
            </w:r>
            <w:r w:rsidRPr="00312485">
              <w:rPr>
                <w:noProof/>
                <w:sz w:val="16"/>
                <w:szCs w:val="16"/>
                <w:lang w:val="ro-MD"/>
              </w:rPr>
              <w:t>301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AEAE9" w14:textId="4AC7F7AF" w:rsidR="003E3F88" w:rsidRPr="00312485" w:rsidRDefault="003E3F88" w:rsidP="003E3F88">
            <w:pPr>
              <w:ind w:firstLine="0"/>
              <w:jc w:val="right"/>
              <w:rPr>
                <w:noProof/>
                <w:sz w:val="16"/>
                <w:szCs w:val="16"/>
                <w:lang w:val="ro-MD"/>
              </w:rPr>
            </w:pPr>
            <w:r w:rsidRPr="00312485">
              <w:rPr>
                <w:noProof/>
                <w:sz w:val="16"/>
                <w:szCs w:val="16"/>
                <w:lang w:val="ro-MD"/>
              </w:rPr>
              <w:t>11</w:t>
            </w:r>
            <w:r w:rsidR="00B04427" w:rsidRPr="00312485">
              <w:rPr>
                <w:noProof/>
                <w:sz w:val="16"/>
                <w:szCs w:val="16"/>
                <w:lang w:val="ro-MD"/>
              </w:rPr>
              <w:t xml:space="preserve"> </w:t>
            </w:r>
            <w:r w:rsidRPr="00312485">
              <w:rPr>
                <w:noProof/>
                <w:sz w:val="16"/>
                <w:szCs w:val="16"/>
                <w:lang w:val="ro-MD"/>
              </w:rPr>
              <w:t>595</w:t>
            </w:r>
          </w:p>
        </w:tc>
        <w:tc>
          <w:tcPr>
            <w:tcW w:w="435" w:type="pct"/>
            <w:tcBorders>
              <w:top w:val="single" w:sz="4" w:space="0" w:color="auto"/>
              <w:left w:val="single" w:sz="4" w:space="0" w:color="auto"/>
              <w:bottom w:val="single" w:sz="4" w:space="0" w:color="auto"/>
              <w:right w:val="single" w:sz="4" w:space="0" w:color="auto"/>
            </w:tcBorders>
            <w:vAlign w:val="center"/>
          </w:tcPr>
          <w:p w14:paraId="50D2BCF8" w14:textId="289E8882" w:rsidR="003E3F88" w:rsidRPr="00312485" w:rsidRDefault="00B04427" w:rsidP="00254372">
            <w:pPr>
              <w:ind w:firstLine="0"/>
              <w:jc w:val="right"/>
              <w:rPr>
                <w:noProof/>
                <w:sz w:val="16"/>
                <w:szCs w:val="16"/>
                <w:lang w:val="ro-MD"/>
              </w:rPr>
            </w:pPr>
            <w:r w:rsidRPr="00312485">
              <w:rPr>
                <w:noProof/>
                <w:sz w:val="16"/>
                <w:szCs w:val="16"/>
                <w:lang w:val="ro-MD"/>
              </w:rPr>
              <w:t xml:space="preserve"> </w:t>
            </w:r>
            <w:r w:rsidR="003E3F88" w:rsidRPr="00312485">
              <w:rPr>
                <w:noProof/>
                <w:sz w:val="16"/>
                <w:szCs w:val="16"/>
                <w:lang w:val="ro-MD"/>
              </w:rPr>
              <w:t xml:space="preserve">  14</w:t>
            </w:r>
            <w:r w:rsidRPr="00312485">
              <w:rPr>
                <w:noProof/>
                <w:sz w:val="16"/>
                <w:szCs w:val="16"/>
                <w:lang w:val="ro-MD"/>
              </w:rPr>
              <w:t xml:space="preserve"> </w:t>
            </w:r>
            <w:r w:rsidR="003E3F88" w:rsidRPr="00312485">
              <w:rPr>
                <w:noProof/>
                <w:sz w:val="16"/>
                <w:szCs w:val="16"/>
                <w:lang w:val="ro-MD"/>
              </w:rPr>
              <w:t>806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84525" w14:textId="564B3A88" w:rsidR="003E3F88" w:rsidRPr="00312485" w:rsidRDefault="003E3F88" w:rsidP="003E3F88">
            <w:pPr>
              <w:ind w:firstLine="0"/>
              <w:jc w:val="right"/>
              <w:rPr>
                <w:noProof/>
                <w:sz w:val="16"/>
                <w:szCs w:val="16"/>
                <w:lang w:val="ro-MD"/>
              </w:rPr>
            </w:pPr>
            <w:r w:rsidRPr="00312485">
              <w:rPr>
                <w:noProof/>
                <w:sz w:val="16"/>
                <w:szCs w:val="16"/>
                <w:lang w:val="ro-MD"/>
              </w:rPr>
              <w:t>16</w:t>
            </w:r>
            <w:r w:rsidR="00B04427" w:rsidRPr="00312485">
              <w:rPr>
                <w:noProof/>
                <w:sz w:val="16"/>
                <w:szCs w:val="16"/>
                <w:lang w:val="ro-MD"/>
              </w:rPr>
              <w:t xml:space="preserve"> </w:t>
            </w:r>
            <w:r w:rsidRPr="00312485">
              <w:rPr>
                <w:noProof/>
                <w:sz w:val="16"/>
                <w:szCs w:val="16"/>
                <w:lang w:val="ro-MD"/>
              </w:rPr>
              <w:t>816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1681F" w14:textId="7B84711F" w:rsidR="003E3F88" w:rsidRPr="00312485" w:rsidRDefault="003E3F88" w:rsidP="003E3F88">
            <w:pPr>
              <w:ind w:firstLine="0"/>
              <w:jc w:val="right"/>
              <w:rPr>
                <w:noProof/>
                <w:sz w:val="16"/>
                <w:szCs w:val="16"/>
                <w:lang w:val="ro-MD"/>
              </w:rPr>
            </w:pPr>
            <w:r w:rsidRPr="00312485">
              <w:rPr>
                <w:noProof/>
                <w:sz w:val="16"/>
                <w:szCs w:val="16"/>
                <w:lang w:val="ro-MD"/>
              </w:rPr>
              <w:t>20</w:t>
            </w:r>
            <w:r w:rsidR="00B04427" w:rsidRPr="00312485">
              <w:rPr>
                <w:noProof/>
                <w:sz w:val="16"/>
                <w:szCs w:val="16"/>
                <w:lang w:val="ro-MD"/>
              </w:rPr>
              <w:t xml:space="preserve"> </w:t>
            </w:r>
            <w:r w:rsidRPr="00312485">
              <w:rPr>
                <w:noProof/>
                <w:sz w:val="16"/>
                <w:szCs w:val="16"/>
                <w:lang w:val="ro-MD"/>
              </w:rPr>
              <w:t>890</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3245" w14:textId="19202F20" w:rsidR="003E3F88" w:rsidRPr="00312485" w:rsidRDefault="003E3F88" w:rsidP="003E3F88">
            <w:pPr>
              <w:ind w:firstLine="0"/>
              <w:jc w:val="right"/>
              <w:rPr>
                <w:noProof/>
                <w:sz w:val="16"/>
                <w:szCs w:val="16"/>
                <w:lang w:val="ro-MD"/>
              </w:rPr>
            </w:pPr>
            <w:r w:rsidRPr="00312485">
              <w:rPr>
                <w:noProof/>
                <w:sz w:val="16"/>
                <w:szCs w:val="16"/>
                <w:lang w:val="ro-MD"/>
              </w:rPr>
              <w:t>19</w:t>
            </w:r>
            <w:r w:rsidR="00B04427" w:rsidRPr="00312485">
              <w:rPr>
                <w:noProof/>
                <w:sz w:val="16"/>
                <w:szCs w:val="16"/>
                <w:lang w:val="ro-MD"/>
              </w:rPr>
              <w:t xml:space="preserve"> </w:t>
            </w:r>
            <w:r w:rsidRPr="00312485">
              <w:rPr>
                <w:noProof/>
                <w:sz w:val="16"/>
                <w:szCs w:val="16"/>
                <w:lang w:val="ro-MD"/>
              </w:rPr>
              <w:t>540</w:t>
            </w:r>
          </w:p>
        </w:tc>
      </w:tr>
      <w:tr w:rsidR="003E3F88" w:rsidRPr="00312485" w14:paraId="41F5F3C1"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D94AE"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Protecția mediului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DD6BD" w14:textId="77777777" w:rsidR="003E3F88" w:rsidRPr="00312485" w:rsidRDefault="003E3F88" w:rsidP="003E3F88">
            <w:pPr>
              <w:ind w:firstLine="0"/>
              <w:jc w:val="right"/>
              <w:rPr>
                <w:noProof/>
                <w:sz w:val="16"/>
                <w:szCs w:val="16"/>
                <w:lang w:val="ro-MD"/>
              </w:rPr>
            </w:pPr>
            <w:r w:rsidRPr="00312485">
              <w:rPr>
                <w:noProof/>
                <w:sz w:val="16"/>
                <w:szCs w:val="16"/>
                <w:lang w:val="ro-MD"/>
              </w:rPr>
              <w:t>414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3F07E" w14:textId="77777777" w:rsidR="003E3F88" w:rsidRPr="00312485" w:rsidRDefault="003E3F88" w:rsidP="003E3F88">
            <w:pPr>
              <w:ind w:firstLine="0"/>
              <w:jc w:val="right"/>
              <w:rPr>
                <w:noProof/>
                <w:sz w:val="16"/>
                <w:szCs w:val="16"/>
                <w:lang w:val="ro-MD"/>
              </w:rPr>
            </w:pPr>
            <w:r w:rsidRPr="00312485">
              <w:rPr>
                <w:noProof/>
                <w:sz w:val="16"/>
                <w:szCs w:val="16"/>
                <w:lang w:val="ro-MD"/>
              </w:rPr>
              <w:t>509</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DF7D4" w14:textId="77777777" w:rsidR="003E3F88" w:rsidRPr="00312485" w:rsidRDefault="003E3F88" w:rsidP="003E3F88">
            <w:pPr>
              <w:ind w:firstLine="0"/>
              <w:jc w:val="right"/>
              <w:rPr>
                <w:noProof/>
                <w:sz w:val="16"/>
                <w:szCs w:val="16"/>
                <w:lang w:val="ro-MD"/>
              </w:rPr>
            </w:pPr>
            <w:r w:rsidRPr="00312485">
              <w:rPr>
                <w:noProof/>
                <w:sz w:val="16"/>
                <w:szCs w:val="16"/>
                <w:lang w:val="ro-MD"/>
              </w:rPr>
              <w:t>876</w:t>
            </w:r>
          </w:p>
        </w:tc>
        <w:tc>
          <w:tcPr>
            <w:tcW w:w="435" w:type="pct"/>
            <w:tcBorders>
              <w:top w:val="single" w:sz="4" w:space="0" w:color="auto"/>
              <w:left w:val="single" w:sz="4" w:space="0" w:color="auto"/>
              <w:bottom w:val="single" w:sz="4" w:space="0" w:color="auto"/>
              <w:right w:val="single" w:sz="4" w:space="0" w:color="auto"/>
            </w:tcBorders>
            <w:vAlign w:val="center"/>
          </w:tcPr>
          <w:p w14:paraId="273DE053" w14:textId="77777777" w:rsidR="003E3F88" w:rsidRPr="00312485" w:rsidRDefault="003E3F88" w:rsidP="003E3F88">
            <w:pPr>
              <w:ind w:firstLine="0"/>
              <w:jc w:val="right"/>
              <w:rPr>
                <w:noProof/>
                <w:sz w:val="16"/>
                <w:szCs w:val="16"/>
                <w:lang w:val="ro-MD"/>
              </w:rPr>
            </w:pPr>
            <w:r w:rsidRPr="00312485">
              <w:rPr>
                <w:noProof/>
                <w:sz w:val="16"/>
                <w:szCs w:val="16"/>
                <w:lang w:val="ro-MD"/>
              </w:rPr>
              <w:t>954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38EB9" w14:textId="66FA17B4"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129</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6F605" w14:textId="09CAD476"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285</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8FB1A" w14:textId="4331A9D0" w:rsidR="003E3F88" w:rsidRPr="00312485" w:rsidRDefault="003E3F88" w:rsidP="003E3F88">
            <w:pPr>
              <w:ind w:firstLine="0"/>
              <w:jc w:val="right"/>
              <w:rPr>
                <w:noProof/>
                <w:sz w:val="16"/>
                <w:szCs w:val="16"/>
                <w:lang w:val="ro-MD"/>
              </w:rPr>
            </w:pPr>
            <w:r w:rsidRPr="00312485">
              <w:rPr>
                <w:noProof/>
                <w:sz w:val="16"/>
                <w:szCs w:val="16"/>
                <w:lang w:val="ro-MD"/>
              </w:rPr>
              <w:t>1</w:t>
            </w:r>
            <w:r w:rsidR="00B04427" w:rsidRPr="00312485">
              <w:rPr>
                <w:noProof/>
                <w:sz w:val="16"/>
                <w:szCs w:val="16"/>
                <w:lang w:val="ro-MD"/>
              </w:rPr>
              <w:t xml:space="preserve"> </w:t>
            </w:r>
            <w:r w:rsidRPr="00312485">
              <w:rPr>
                <w:noProof/>
                <w:sz w:val="16"/>
                <w:szCs w:val="16"/>
                <w:lang w:val="ro-MD"/>
              </w:rPr>
              <w:t>256</w:t>
            </w:r>
          </w:p>
        </w:tc>
      </w:tr>
      <w:tr w:rsidR="003E3F88" w:rsidRPr="00312485" w14:paraId="2D0DDF44" w14:textId="77777777" w:rsidTr="002C5304">
        <w:trPr>
          <w:trHeight w:val="465"/>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950EC1"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Gospodăria de locuințe și gospodăria serviciilor comunale</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BB35" w14:textId="729E5961"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757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C9D5" w14:textId="3134F78B"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169</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8A13C" w14:textId="139B4535"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318</w:t>
            </w:r>
          </w:p>
        </w:tc>
        <w:tc>
          <w:tcPr>
            <w:tcW w:w="435" w:type="pct"/>
            <w:tcBorders>
              <w:top w:val="single" w:sz="4" w:space="0" w:color="auto"/>
              <w:left w:val="single" w:sz="4" w:space="0" w:color="auto"/>
              <w:bottom w:val="single" w:sz="4" w:space="0" w:color="auto"/>
              <w:right w:val="single" w:sz="4" w:space="0" w:color="auto"/>
            </w:tcBorders>
            <w:vAlign w:val="center"/>
          </w:tcPr>
          <w:p w14:paraId="649D8FC7" w14:textId="3B73AF51" w:rsidR="003E3F88" w:rsidRPr="00312485" w:rsidRDefault="003E3F88" w:rsidP="003E3F88">
            <w:pPr>
              <w:ind w:firstLine="0"/>
              <w:jc w:val="right"/>
              <w:rPr>
                <w:noProof/>
                <w:sz w:val="16"/>
                <w:szCs w:val="16"/>
                <w:lang w:val="ro-MD"/>
              </w:rPr>
            </w:pPr>
            <w:r w:rsidRPr="00312485">
              <w:rPr>
                <w:noProof/>
                <w:sz w:val="16"/>
                <w:szCs w:val="16"/>
                <w:lang w:val="ro-MD"/>
              </w:rPr>
              <w:t>4</w:t>
            </w:r>
            <w:r w:rsidR="00B04427" w:rsidRPr="00312485">
              <w:rPr>
                <w:noProof/>
                <w:sz w:val="16"/>
                <w:szCs w:val="16"/>
                <w:lang w:val="ro-MD"/>
              </w:rPr>
              <w:t xml:space="preserve"> </w:t>
            </w:r>
            <w:r w:rsidRPr="00312485">
              <w:rPr>
                <w:noProof/>
                <w:sz w:val="16"/>
                <w:szCs w:val="16"/>
                <w:lang w:val="ro-MD"/>
              </w:rPr>
              <w:t>031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1BFA8" w14:textId="14F11B06" w:rsidR="003E3F88" w:rsidRPr="00312485" w:rsidRDefault="003E3F88" w:rsidP="003E3F88">
            <w:pPr>
              <w:ind w:firstLine="0"/>
              <w:jc w:val="right"/>
              <w:rPr>
                <w:noProof/>
                <w:sz w:val="16"/>
                <w:szCs w:val="16"/>
                <w:lang w:val="ro-MD"/>
              </w:rPr>
            </w:pPr>
            <w:r w:rsidRPr="00312485">
              <w:rPr>
                <w:noProof/>
                <w:sz w:val="16"/>
                <w:szCs w:val="16"/>
                <w:lang w:val="ro-MD"/>
              </w:rPr>
              <w:t>5</w:t>
            </w:r>
            <w:r w:rsidR="00B04427" w:rsidRPr="00312485">
              <w:rPr>
                <w:noProof/>
                <w:sz w:val="16"/>
                <w:szCs w:val="16"/>
                <w:lang w:val="ro-MD"/>
              </w:rPr>
              <w:t xml:space="preserve"> </w:t>
            </w:r>
            <w:r w:rsidRPr="00312485">
              <w:rPr>
                <w:noProof/>
                <w:sz w:val="16"/>
                <w:szCs w:val="16"/>
                <w:lang w:val="ro-MD"/>
              </w:rPr>
              <w:t>186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234E5" w14:textId="66B048A4" w:rsidR="003E3F88" w:rsidRPr="00312485" w:rsidRDefault="003E3F88" w:rsidP="003E3F88">
            <w:pPr>
              <w:ind w:firstLine="0"/>
              <w:jc w:val="right"/>
              <w:rPr>
                <w:noProof/>
                <w:sz w:val="16"/>
                <w:szCs w:val="16"/>
                <w:lang w:val="ro-MD"/>
              </w:rPr>
            </w:pPr>
            <w:r w:rsidRPr="00312485">
              <w:rPr>
                <w:noProof/>
                <w:sz w:val="16"/>
                <w:szCs w:val="16"/>
                <w:lang w:val="ro-MD"/>
              </w:rPr>
              <w:t>5</w:t>
            </w:r>
            <w:r w:rsidR="00B04427" w:rsidRPr="00312485">
              <w:rPr>
                <w:noProof/>
                <w:sz w:val="16"/>
                <w:szCs w:val="16"/>
                <w:lang w:val="ro-MD"/>
              </w:rPr>
              <w:t xml:space="preserve"> </w:t>
            </w:r>
            <w:r w:rsidRPr="00312485">
              <w:rPr>
                <w:noProof/>
                <w:sz w:val="16"/>
                <w:szCs w:val="16"/>
                <w:lang w:val="ro-MD"/>
              </w:rPr>
              <w:t>033</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41D1E" w14:textId="579C8DF7" w:rsidR="003E3F88" w:rsidRPr="00312485" w:rsidRDefault="003E3F88" w:rsidP="003E3F88">
            <w:pPr>
              <w:ind w:firstLine="0"/>
              <w:jc w:val="right"/>
              <w:rPr>
                <w:noProof/>
                <w:sz w:val="16"/>
                <w:szCs w:val="16"/>
                <w:lang w:val="ro-MD"/>
              </w:rPr>
            </w:pPr>
            <w:r w:rsidRPr="00312485">
              <w:rPr>
                <w:noProof/>
                <w:sz w:val="16"/>
                <w:szCs w:val="16"/>
                <w:lang w:val="ro-MD"/>
              </w:rPr>
              <w:t>4</w:t>
            </w:r>
            <w:r w:rsidR="00B04427" w:rsidRPr="00312485">
              <w:rPr>
                <w:noProof/>
                <w:sz w:val="16"/>
                <w:szCs w:val="16"/>
                <w:lang w:val="ro-MD"/>
              </w:rPr>
              <w:t xml:space="preserve"> </w:t>
            </w:r>
            <w:r w:rsidRPr="00312485">
              <w:rPr>
                <w:noProof/>
                <w:sz w:val="16"/>
                <w:szCs w:val="16"/>
                <w:lang w:val="ro-MD"/>
              </w:rPr>
              <w:t>781</w:t>
            </w:r>
          </w:p>
        </w:tc>
      </w:tr>
      <w:tr w:rsidR="003E3F88" w:rsidRPr="00312485" w14:paraId="20D5A686"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83B059A"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Ocrotirea sănătății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2ACE0" w14:textId="5A35491D" w:rsidR="003E3F88" w:rsidRPr="00312485" w:rsidRDefault="003E3F88" w:rsidP="003E3F88">
            <w:pPr>
              <w:ind w:firstLine="0"/>
              <w:jc w:val="right"/>
              <w:rPr>
                <w:noProof/>
                <w:sz w:val="16"/>
                <w:szCs w:val="16"/>
                <w:lang w:val="ro-MD"/>
              </w:rPr>
            </w:pPr>
            <w:r w:rsidRPr="00312485">
              <w:rPr>
                <w:noProof/>
                <w:sz w:val="16"/>
                <w:szCs w:val="16"/>
                <w:lang w:val="ro-MD"/>
              </w:rPr>
              <w:t>15</w:t>
            </w:r>
            <w:r w:rsidR="00B04427" w:rsidRPr="00312485">
              <w:rPr>
                <w:noProof/>
                <w:sz w:val="16"/>
                <w:szCs w:val="16"/>
                <w:lang w:val="ro-MD"/>
              </w:rPr>
              <w:t xml:space="preserve"> </w:t>
            </w:r>
            <w:r w:rsidRPr="00312485">
              <w:rPr>
                <w:noProof/>
                <w:sz w:val="16"/>
                <w:szCs w:val="16"/>
                <w:lang w:val="ro-MD"/>
              </w:rPr>
              <w:t>944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EF59B" w14:textId="590764F0" w:rsidR="003E3F88" w:rsidRPr="00312485" w:rsidRDefault="003E3F88" w:rsidP="003E3F88">
            <w:pPr>
              <w:ind w:firstLine="0"/>
              <w:jc w:val="right"/>
              <w:rPr>
                <w:noProof/>
                <w:sz w:val="16"/>
                <w:szCs w:val="16"/>
                <w:lang w:val="ro-MD"/>
              </w:rPr>
            </w:pPr>
            <w:r w:rsidRPr="00312485">
              <w:rPr>
                <w:noProof/>
                <w:sz w:val="16"/>
                <w:szCs w:val="16"/>
                <w:lang w:val="ro-MD"/>
              </w:rPr>
              <w:t>18</w:t>
            </w:r>
            <w:r w:rsidR="00B04427" w:rsidRPr="00312485">
              <w:rPr>
                <w:noProof/>
                <w:sz w:val="16"/>
                <w:szCs w:val="16"/>
                <w:lang w:val="ro-MD"/>
              </w:rPr>
              <w:t xml:space="preserve"> </w:t>
            </w:r>
            <w:r w:rsidRPr="00312485">
              <w:rPr>
                <w:noProof/>
                <w:sz w:val="16"/>
                <w:szCs w:val="16"/>
                <w:lang w:val="ro-MD"/>
              </w:rPr>
              <w:t>077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0E1D2" w14:textId="47DF8C36" w:rsidR="003E3F88" w:rsidRPr="00312485" w:rsidRDefault="003E3F88" w:rsidP="003E3F88">
            <w:pPr>
              <w:ind w:firstLine="0"/>
              <w:jc w:val="right"/>
              <w:rPr>
                <w:noProof/>
                <w:sz w:val="16"/>
                <w:szCs w:val="16"/>
                <w:lang w:val="ro-MD"/>
              </w:rPr>
            </w:pPr>
            <w:r w:rsidRPr="00312485">
              <w:rPr>
                <w:noProof/>
                <w:sz w:val="16"/>
                <w:szCs w:val="16"/>
                <w:lang w:val="ro-MD"/>
              </w:rPr>
              <w:t>19</w:t>
            </w:r>
            <w:r w:rsidR="00B04427" w:rsidRPr="00312485">
              <w:rPr>
                <w:noProof/>
                <w:sz w:val="16"/>
                <w:szCs w:val="16"/>
                <w:lang w:val="ro-MD"/>
              </w:rPr>
              <w:t xml:space="preserve"> </w:t>
            </w:r>
            <w:r w:rsidRPr="00312485">
              <w:rPr>
                <w:noProof/>
                <w:sz w:val="16"/>
                <w:szCs w:val="16"/>
                <w:lang w:val="ro-MD"/>
              </w:rPr>
              <w:t>434</w:t>
            </w:r>
          </w:p>
        </w:tc>
        <w:tc>
          <w:tcPr>
            <w:tcW w:w="435" w:type="pct"/>
            <w:tcBorders>
              <w:top w:val="single" w:sz="4" w:space="0" w:color="auto"/>
              <w:left w:val="single" w:sz="4" w:space="0" w:color="auto"/>
              <w:bottom w:val="single" w:sz="4" w:space="0" w:color="auto"/>
              <w:right w:val="single" w:sz="4" w:space="0" w:color="auto"/>
            </w:tcBorders>
            <w:vAlign w:val="center"/>
          </w:tcPr>
          <w:p w14:paraId="5F1BDEAE" w14:textId="6D0EFB71" w:rsidR="003E3F88" w:rsidRPr="00312485" w:rsidRDefault="003E3F88" w:rsidP="003E3F88">
            <w:pPr>
              <w:ind w:firstLine="0"/>
              <w:jc w:val="right"/>
              <w:rPr>
                <w:noProof/>
                <w:sz w:val="16"/>
                <w:szCs w:val="16"/>
                <w:lang w:val="ro-MD"/>
              </w:rPr>
            </w:pPr>
            <w:r w:rsidRPr="00312485">
              <w:rPr>
                <w:noProof/>
                <w:sz w:val="16"/>
                <w:szCs w:val="16"/>
                <w:lang w:val="ro-MD"/>
              </w:rPr>
              <w:t>19</w:t>
            </w:r>
            <w:r w:rsidR="00B04427" w:rsidRPr="00312485">
              <w:rPr>
                <w:noProof/>
                <w:sz w:val="16"/>
                <w:szCs w:val="16"/>
                <w:lang w:val="ro-MD"/>
              </w:rPr>
              <w:t xml:space="preserve"> </w:t>
            </w:r>
            <w:r w:rsidRPr="00312485">
              <w:rPr>
                <w:noProof/>
                <w:sz w:val="16"/>
                <w:szCs w:val="16"/>
                <w:lang w:val="ro-MD"/>
              </w:rPr>
              <w:t>742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A9A51" w14:textId="14798D2B" w:rsidR="003E3F88" w:rsidRPr="00312485" w:rsidRDefault="003E3F88" w:rsidP="003E3F88">
            <w:pPr>
              <w:ind w:firstLine="0"/>
              <w:jc w:val="right"/>
              <w:rPr>
                <w:noProof/>
                <w:sz w:val="16"/>
                <w:szCs w:val="16"/>
                <w:lang w:val="ro-MD"/>
              </w:rPr>
            </w:pPr>
            <w:r w:rsidRPr="00312485">
              <w:rPr>
                <w:noProof/>
                <w:sz w:val="16"/>
                <w:szCs w:val="16"/>
                <w:lang w:val="ro-MD"/>
              </w:rPr>
              <w:t>21</w:t>
            </w:r>
            <w:r w:rsidR="00B04427" w:rsidRPr="00312485">
              <w:rPr>
                <w:noProof/>
                <w:sz w:val="16"/>
                <w:szCs w:val="16"/>
                <w:lang w:val="ro-MD"/>
              </w:rPr>
              <w:t xml:space="preserve"> </w:t>
            </w:r>
            <w:r w:rsidRPr="00312485">
              <w:rPr>
                <w:noProof/>
                <w:sz w:val="16"/>
                <w:szCs w:val="16"/>
                <w:lang w:val="ro-MD"/>
              </w:rPr>
              <w:t>511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EFEDA" w14:textId="71821C29" w:rsidR="003E3F88" w:rsidRPr="00312485" w:rsidRDefault="003E3F88" w:rsidP="003E3F88">
            <w:pPr>
              <w:ind w:firstLine="0"/>
              <w:jc w:val="right"/>
              <w:rPr>
                <w:noProof/>
                <w:sz w:val="16"/>
                <w:szCs w:val="16"/>
                <w:lang w:val="ro-MD"/>
              </w:rPr>
            </w:pPr>
            <w:r w:rsidRPr="00312485">
              <w:rPr>
                <w:noProof/>
                <w:sz w:val="16"/>
                <w:szCs w:val="16"/>
                <w:lang w:val="ro-MD"/>
              </w:rPr>
              <w:t>23</w:t>
            </w:r>
            <w:r w:rsidR="00B04427" w:rsidRPr="00312485">
              <w:rPr>
                <w:noProof/>
                <w:sz w:val="16"/>
                <w:szCs w:val="16"/>
                <w:lang w:val="ro-MD"/>
              </w:rPr>
              <w:t xml:space="preserve"> </w:t>
            </w:r>
            <w:r w:rsidRPr="00312485">
              <w:rPr>
                <w:noProof/>
                <w:sz w:val="16"/>
                <w:szCs w:val="16"/>
                <w:lang w:val="ro-MD"/>
              </w:rPr>
              <w:t>544</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3BA79" w14:textId="47C926C9" w:rsidR="003E3F88" w:rsidRPr="00312485" w:rsidRDefault="003E3F88" w:rsidP="003E3F88">
            <w:pPr>
              <w:ind w:firstLine="0"/>
              <w:jc w:val="right"/>
              <w:rPr>
                <w:noProof/>
                <w:sz w:val="16"/>
                <w:szCs w:val="16"/>
                <w:lang w:val="ro-MD"/>
              </w:rPr>
            </w:pPr>
            <w:r w:rsidRPr="00312485">
              <w:rPr>
                <w:noProof/>
                <w:sz w:val="16"/>
                <w:szCs w:val="16"/>
                <w:lang w:val="ro-MD"/>
              </w:rPr>
              <w:t>25</w:t>
            </w:r>
            <w:r w:rsidR="00B04427" w:rsidRPr="00312485">
              <w:rPr>
                <w:noProof/>
                <w:sz w:val="16"/>
                <w:szCs w:val="16"/>
                <w:lang w:val="ro-MD"/>
              </w:rPr>
              <w:t xml:space="preserve"> </w:t>
            </w:r>
            <w:r w:rsidRPr="00312485">
              <w:rPr>
                <w:noProof/>
                <w:sz w:val="16"/>
                <w:szCs w:val="16"/>
                <w:lang w:val="ro-MD"/>
              </w:rPr>
              <w:t>107</w:t>
            </w:r>
          </w:p>
        </w:tc>
      </w:tr>
      <w:tr w:rsidR="003E3F88" w:rsidRPr="00312485" w14:paraId="5971C1BB"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F62321B"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Cultură, sport, tineret, culte și odihnă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8FDF7" w14:textId="4804B625" w:rsidR="003E3F88" w:rsidRPr="00312485" w:rsidRDefault="003E3F88" w:rsidP="003E3F88">
            <w:pPr>
              <w:ind w:firstLine="0"/>
              <w:jc w:val="right"/>
              <w:rPr>
                <w:noProof/>
                <w:sz w:val="16"/>
                <w:szCs w:val="16"/>
                <w:lang w:val="ro-MD"/>
              </w:rPr>
            </w:pPr>
            <w:r w:rsidRPr="00312485">
              <w:rPr>
                <w:noProof/>
                <w:sz w:val="16"/>
                <w:szCs w:val="16"/>
                <w:lang w:val="ro-MD"/>
              </w:rPr>
              <w:t>2</w:t>
            </w:r>
            <w:r w:rsidR="00B04427" w:rsidRPr="00312485">
              <w:rPr>
                <w:noProof/>
                <w:sz w:val="16"/>
                <w:szCs w:val="16"/>
                <w:lang w:val="ro-MD"/>
              </w:rPr>
              <w:t xml:space="preserve"> </w:t>
            </w:r>
            <w:r w:rsidRPr="00312485">
              <w:rPr>
                <w:noProof/>
                <w:sz w:val="16"/>
                <w:szCs w:val="16"/>
                <w:lang w:val="ro-MD"/>
              </w:rPr>
              <w:t>978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C380" w14:textId="248ACE59"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243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C604" w14:textId="45C93F46"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612</w:t>
            </w:r>
          </w:p>
        </w:tc>
        <w:tc>
          <w:tcPr>
            <w:tcW w:w="435" w:type="pct"/>
            <w:tcBorders>
              <w:top w:val="single" w:sz="4" w:space="0" w:color="auto"/>
              <w:left w:val="single" w:sz="4" w:space="0" w:color="auto"/>
              <w:bottom w:val="single" w:sz="4" w:space="0" w:color="auto"/>
              <w:right w:val="single" w:sz="4" w:space="0" w:color="auto"/>
            </w:tcBorders>
            <w:vAlign w:val="center"/>
          </w:tcPr>
          <w:p w14:paraId="479F5FA4" w14:textId="362F95E3"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653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4E7EA" w14:textId="5994264C"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622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1C92F" w14:textId="35C2F953"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659</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FED5C" w14:textId="6F8CA8DB" w:rsidR="003E3F88" w:rsidRPr="00312485" w:rsidRDefault="003E3F88" w:rsidP="003E3F88">
            <w:pPr>
              <w:ind w:firstLine="0"/>
              <w:jc w:val="right"/>
              <w:rPr>
                <w:noProof/>
                <w:sz w:val="16"/>
                <w:szCs w:val="16"/>
                <w:lang w:val="ro-MD"/>
              </w:rPr>
            </w:pPr>
            <w:r w:rsidRPr="00312485">
              <w:rPr>
                <w:noProof/>
                <w:sz w:val="16"/>
                <w:szCs w:val="16"/>
                <w:lang w:val="ro-MD"/>
              </w:rPr>
              <w:t>3</w:t>
            </w:r>
            <w:r w:rsidR="00B04427" w:rsidRPr="00312485">
              <w:rPr>
                <w:noProof/>
                <w:sz w:val="16"/>
                <w:szCs w:val="16"/>
                <w:lang w:val="ro-MD"/>
              </w:rPr>
              <w:t xml:space="preserve"> </w:t>
            </w:r>
            <w:r w:rsidRPr="00312485">
              <w:rPr>
                <w:noProof/>
                <w:sz w:val="16"/>
                <w:szCs w:val="16"/>
                <w:lang w:val="ro-MD"/>
              </w:rPr>
              <w:t>825</w:t>
            </w:r>
          </w:p>
        </w:tc>
      </w:tr>
      <w:tr w:rsidR="003E3F88" w:rsidRPr="00312485" w14:paraId="7288D69C"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C21FE91"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Învățământ</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00680" w14:textId="48B7F41F" w:rsidR="003E3F88" w:rsidRPr="00312485" w:rsidRDefault="003E3F88" w:rsidP="003E3F88">
            <w:pPr>
              <w:ind w:firstLine="0"/>
              <w:jc w:val="right"/>
              <w:rPr>
                <w:noProof/>
                <w:sz w:val="16"/>
                <w:szCs w:val="16"/>
                <w:lang w:val="ro-MD"/>
              </w:rPr>
            </w:pPr>
            <w:r w:rsidRPr="00312485">
              <w:rPr>
                <w:noProof/>
                <w:sz w:val="16"/>
                <w:szCs w:val="16"/>
                <w:lang w:val="ro-MD"/>
              </w:rPr>
              <w:t>18</w:t>
            </w:r>
            <w:r w:rsidR="00B04427" w:rsidRPr="00312485">
              <w:rPr>
                <w:noProof/>
                <w:sz w:val="16"/>
                <w:szCs w:val="16"/>
                <w:lang w:val="ro-MD"/>
              </w:rPr>
              <w:t xml:space="preserve"> </w:t>
            </w:r>
            <w:r w:rsidRPr="00312485">
              <w:rPr>
                <w:noProof/>
                <w:sz w:val="16"/>
                <w:szCs w:val="16"/>
                <w:lang w:val="ro-MD"/>
              </w:rPr>
              <w:t>784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61FDD" w14:textId="2CDEFB26" w:rsidR="003E3F88" w:rsidRPr="00312485" w:rsidRDefault="003E3F88" w:rsidP="003E3F88">
            <w:pPr>
              <w:ind w:firstLine="0"/>
              <w:jc w:val="right"/>
              <w:rPr>
                <w:noProof/>
                <w:sz w:val="16"/>
                <w:szCs w:val="16"/>
                <w:lang w:val="ro-MD"/>
              </w:rPr>
            </w:pPr>
            <w:r w:rsidRPr="00312485">
              <w:rPr>
                <w:noProof/>
                <w:sz w:val="16"/>
                <w:szCs w:val="16"/>
                <w:lang w:val="ro-MD"/>
              </w:rPr>
              <w:t>19</w:t>
            </w:r>
            <w:r w:rsidR="00B04427" w:rsidRPr="00312485">
              <w:rPr>
                <w:noProof/>
                <w:sz w:val="16"/>
                <w:szCs w:val="16"/>
                <w:lang w:val="ro-MD"/>
              </w:rPr>
              <w:t xml:space="preserve"> </w:t>
            </w:r>
            <w:r w:rsidRPr="00312485">
              <w:rPr>
                <w:noProof/>
                <w:sz w:val="16"/>
                <w:szCs w:val="16"/>
                <w:lang w:val="ro-MD"/>
              </w:rPr>
              <w:t>631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12013" w14:textId="2744FDE9" w:rsidR="003E3F88" w:rsidRPr="00312485" w:rsidRDefault="003E3F88" w:rsidP="003E3F88">
            <w:pPr>
              <w:ind w:firstLine="0"/>
              <w:jc w:val="right"/>
              <w:rPr>
                <w:noProof/>
                <w:sz w:val="16"/>
                <w:szCs w:val="16"/>
                <w:lang w:val="ro-MD"/>
              </w:rPr>
            </w:pPr>
            <w:r w:rsidRPr="00312485">
              <w:rPr>
                <w:noProof/>
                <w:sz w:val="16"/>
                <w:szCs w:val="16"/>
                <w:lang w:val="ro-MD"/>
              </w:rPr>
              <w:t>21</w:t>
            </w:r>
            <w:r w:rsidR="00B04427" w:rsidRPr="00312485">
              <w:rPr>
                <w:noProof/>
                <w:sz w:val="16"/>
                <w:szCs w:val="16"/>
                <w:lang w:val="ro-MD"/>
              </w:rPr>
              <w:t xml:space="preserve"> </w:t>
            </w:r>
            <w:r w:rsidRPr="00312485">
              <w:rPr>
                <w:noProof/>
                <w:sz w:val="16"/>
                <w:szCs w:val="16"/>
                <w:lang w:val="ro-MD"/>
              </w:rPr>
              <w:t>028</w:t>
            </w:r>
          </w:p>
        </w:tc>
        <w:tc>
          <w:tcPr>
            <w:tcW w:w="435" w:type="pct"/>
            <w:tcBorders>
              <w:top w:val="single" w:sz="4" w:space="0" w:color="auto"/>
              <w:left w:val="single" w:sz="4" w:space="0" w:color="auto"/>
              <w:bottom w:val="single" w:sz="4" w:space="0" w:color="auto"/>
              <w:right w:val="single" w:sz="4" w:space="0" w:color="auto"/>
            </w:tcBorders>
            <w:vAlign w:val="center"/>
          </w:tcPr>
          <w:p w14:paraId="23374679" w14:textId="791C1E47" w:rsidR="003E3F88" w:rsidRPr="00312485" w:rsidRDefault="003E3F88" w:rsidP="003E3F88">
            <w:pPr>
              <w:ind w:firstLine="0"/>
              <w:jc w:val="right"/>
              <w:rPr>
                <w:noProof/>
                <w:sz w:val="16"/>
                <w:szCs w:val="16"/>
                <w:lang w:val="ro-MD"/>
              </w:rPr>
            </w:pPr>
            <w:r w:rsidRPr="00312485">
              <w:rPr>
                <w:noProof/>
                <w:sz w:val="16"/>
                <w:szCs w:val="16"/>
                <w:lang w:val="ro-MD"/>
              </w:rPr>
              <w:t>21</w:t>
            </w:r>
            <w:r w:rsidR="00B04427" w:rsidRPr="00312485">
              <w:rPr>
                <w:noProof/>
                <w:sz w:val="16"/>
                <w:szCs w:val="16"/>
                <w:lang w:val="ro-MD"/>
              </w:rPr>
              <w:t xml:space="preserve"> </w:t>
            </w:r>
            <w:r w:rsidRPr="00312485">
              <w:rPr>
                <w:noProof/>
                <w:sz w:val="16"/>
                <w:szCs w:val="16"/>
                <w:lang w:val="ro-MD"/>
              </w:rPr>
              <w:t>408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74A07" w14:textId="04ACF598" w:rsidR="003E3F88" w:rsidRPr="00312485" w:rsidRDefault="003E3F88" w:rsidP="003E3F88">
            <w:pPr>
              <w:ind w:firstLine="0"/>
              <w:jc w:val="right"/>
              <w:rPr>
                <w:noProof/>
                <w:sz w:val="16"/>
                <w:szCs w:val="16"/>
                <w:lang w:val="ro-MD"/>
              </w:rPr>
            </w:pPr>
            <w:r w:rsidRPr="00312485">
              <w:rPr>
                <w:noProof/>
                <w:sz w:val="16"/>
                <w:szCs w:val="16"/>
                <w:lang w:val="ro-MD"/>
              </w:rPr>
              <w:t>21</w:t>
            </w:r>
            <w:r w:rsidR="00B04427" w:rsidRPr="00312485">
              <w:rPr>
                <w:noProof/>
                <w:sz w:val="16"/>
                <w:szCs w:val="16"/>
                <w:lang w:val="ro-MD"/>
              </w:rPr>
              <w:t xml:space="preserve"> </w:t>
            </w:r>
            <w:r w:rsidRPr="00312485">
              <w:rPr>
                <w:noProof/>
                <w:sz w:val="16"/>
                <w:szCs w:val="16"/>
                <w:lang w:val="ro-MD"/>
              </w:rPr>
              <w:t>690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FBF9E" w14:textId="6E38B6AE" w:rsidR="003E3F88" w:rsidRPr="00312485" w:rsidRDefault="003E3F88" w:rsidP="003E3F88">
            <w:pPr>
              <w:ind w:firstLine="0"/>
              <w:jc w:val="right"/>
              <w:rPr>
                <w:noProof/>
                <w:sz w:val="16"/>
                <w:szCs w:val="16"/>
                <w:lang w:val="ro-MD"/>
              </w:rPr>
            </w:pPr>
            <w:r w:rsidRPr="00312485">
              <w:rPr>
                <w:noProof/>
                <w:sz w:val="16"/>
                <w:szCs w:val="16"/>
                <w:lang w:val="ro-MD"/>
              </w:rPr>
              <w:t>22</w:t>
            </w:r>
            <w:r w:rsidR="00B04427" w:rsidRPr="00312485">
              <w:rPr>
                <w:noProof/>
                <w:sz w:val="16"/>
                <w:szCs w:val="16"/>
                <w:lang w:val="ro-MD"/>
              </w:rPr>
              <w:t xml:space="preserve"> </w:t>
            </w:r>
            <w:r w:rsidRPr="00312485">
              <w:rPr>
                <w:noProof/>
                <w:sz w:val="16"/>
                <w:szCs w:val="16"/>
                <w:lang w:val="ro-MD"/>
              </w:rPr>
              <w:t>132</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6D868" w14:textId="53E670CC" w:rsidR="003E3F88" w:rsidRPr="00312485" w:rsidRDefault="003E3F88" w:rsidP="003E3F88">
            <w:pPr>
              <w:ind w:firstLine="0"/>
              <w:jc w:val="right"/>
              <w:rPr>
                <w:noProof/>
                <w:sz w:val="16"/>
                <w:szCs w:val="16"/>
                <w:lang w:val="ro-MD"/>
              </w:rPr>
            </w:pPr>
            <w:r w:rsidRPr="00312485">
              <w:rPr>
                <w:noProof/>
                <w:sz w:val="16"/>
                <w:szCs w:val="16"/>
                <w:lang w:val="ro-MD"/>
              </w:rPr>
              <w:t>21</w:t>
            </w:r>
            <w:r w:rsidR="00B04427" w:rsidRPr="00312485">
              <w:rPr>
                <w:noProof/>
                <w:sz w:val="16"/>
                <w:szCs w:val="16"/>
                <w:lang w:val="ro-MD"/>
              </w:rPr>
              <w:t xml:space="preserve"> </w:t>
            </w:r>
            <w:r w:rsidRPr="00312485">
              <w:rPr>
                <w:noProof/>
                <w:sz w:val="16"/>
                <w:szCs w:val="16"/>
                <w:lang w:val="ro-MD"/>
              </w:rPr>
              <w:t>976</w:t>
            </w:r>
          </w:p>
        </w:tc>
      </w:tr>
      <w:tr w:rsidR="003E3F88" w:rsidRPr="00312485" w14:paraId="1516ABEA"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69E0DCB"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Protecție socială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3E69B" w14:textId="2049CEAA" w:rsidR="003E3F88" w:rsidRPr="00312485" w:rsidRDefault="003E3F88" w:rsidP="003E3F88">
            <w:pPr>
              <w:ind w:firstLine="0"/>
              <w:jc w:val="right"/>
              <w:rPr>
                <w:noProof/>
                <w:sz w:val="16"/>
                <w:szCs w:val="16"/>
                <w:lang w:val="ro-MD"/>
              </w:rPr>
            </w:pPr>
            <w:r w:rsidRPr="00312485">
              <w:rPr>
                <w:noProof/>
                <w:sz w:val="16"/>
                <w:szCs w:val="16"/>
                <w:lang w:val="ro-MD"/>
              </w:rPr>
              <w:t>44</w:t>
            </w:r>
            <w:r w:rsidR="00B04427" w:rsidRPr="00312485">
              <w:rPr>
                <w:noProof/>
                <w:sz w:val="16"/>
                <w:szCs w:val="16"/>
                <w:lang w:val="ro-MD"/>
              </w:rPr>
              <w:t xml:space="preserve"> </w:t>
            </w:r>
            <w:r w:rsidRPr="00312485">
              <w:rPr>
                <w:noProof/>
                <w:sz w:val="16"/>
                <w:szCs w:val="16"/>
                <w:lang w:val="ro-MD"/>
              </w:rPr>
              <w:t>990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2BB8C" w14:textId="33C64967" w:rsidR="003E3F88" w:rsidRPr="00312485" w:rsidRDefault="003E3F88" w:rsidP="003E3F88">
            <w:pPr>
              <w:ind w:firstLine="0"/>
              <w:jc w:val="right"/>
              <w:rPr>
                <w:noProof/>
                <w:sz w:val="16"/>
                <w:szCs w:val="16"/>
                <w:lang w:val="ro-MD"/>
              </w:rPr>
            </w:pPr>
            <w:r w:rsidRPr="00312485">
              <w:rPr>
                <w:noProof/>
                <w:sz w:val="16"/>
                <w:szCs w:val="16"/>
                <w:lang w:val="ro-MD"/>
              </w:rPr>
              <w:t>47</w:t>
            </w:r>
            <w:r w:rsidR="00B04427" w:rsidRPr="00312485">
              <w:rPr>
                <w:noProof/>
                <w:sz w:val="16"/>
                <w:szCs w:val="16"/>
                <w:lang w:val="ro-MD"/>
              </w:rPr>
              <w:t xml:space="preserve"> </w:t>
            </w:r>
            <w:r w:rsidRPr="00312485">
              <w:rPr>
                <w:noProof/>
                <w:sz w:val="16"/>
                <w:szCs w:val="16"/>
                <w:lang w:val="ro-MD"/>
              </w:rPr>
              <w:t>008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D1C8" w14:textId="37F58096" w:rsidR="003E3F88" w:rsidRPr="00312485" w:rsidRDefault="003E3F88" w:rsidP="003E3F88">
            <w:pPr>
              <w:ind w:firstLine="0"/>
              <w:jc w:val="right"/>
              <w:rPr>
                <w:noProof/>
                <w:sz w:val="16"/>
                <w:szCs w:val="16"/>
                <w:lang w:val="ro-MD"/>
              </w:rPr>
            </w:pPr>
            <w:r w:rsidRPr="00312485">
              <w:rPr>
                <w:noProof/>
                <w:sz w:val="16"/>
                <w:szCs w:val="16"/>
                <w:lang w:val="ro-MD"/>
              </w:rPr>
              <w:t>50</w:t>
            </w:r>
            <w:r w:rsidR="00B04427" w:rsidRPr="00312485">
              <w:rPr>
                <w:noProof/>
                <w:sz w:val="16"/>
                <w:szCs w:val="16"/>
                <w:lang w:val="ro-MD"/>
              </w:rPr>
              <w:t xml:space="preserve"> </w:t>
            </w:r>
            <w:r w:rsidRPr="00312485">
              <w:rPr>
                <w:noProof/>
                <w:sz w:val="16"/>
                <w:szCs w:val="16"/>
                <w:lang w:val="ro-MD"/>
              </w:rPr>
              <w:t>355</w:t>
            </w:r>
          </w:p>
        </w:tc>
        <w:tc>
          <w:tcPr>
            <w:tcW w:w="435" w:type="pct"/>
            <w:tcBorders>
              <w:top w:val="single" w:sz="4" w:space="0" w:color="auto"/>
              <w:left w:val="single" w:sz="4" w:space="0" w:color="auto"/>
              <w:bottom w:val="single" w:sz="4" w:space="0" w:color="auto"/>
              <w:right w:val="single" w:sz="4" w:space="0" w:color="auto"/>
            </w:tcBorders>
            <w:vAlign w:val="center"/>
          </w:tcPr>
          <w:p w14:paraId="60C7FECE" w14:textId="330C31B6" w:rsidR="003E3F88" w:rsidRPr="00312485" w:rsidRDefault="003E3F88" w:rsidP="003E3F88">
            <w:pPr>
              <w:ind w:firstLine="0"/>
              <w:jc w:val="right"/>
              <w:rPr>
                <w:noProof/>
                <w:sz w:val="16"/>
                <w:szCs w:val="16"/>
                <w:lang w:val="ro-MD"/>
              </w:rPr>
            </w:pPr>
            <w:r w:rsidRPr="00312485">
              <w:rPr>
                <w:noProof/>
                <w:sz w:val="16"/>
                <w:szCs w:val="16"/>
                <w:lang w:val="ro-MD"/>
              </w:rPr>
              <w:t>53</w:t>
            </w:r>
            <w:r w:rsidR="00B04427" w:rsidRPr="00312485">
              <w:rPr>
                <w:noProof/>
                <w:sz w:val="16"/>
                <w:szCs w:val="16"/>
                <w:lang w:val="ro-MD"/>
              </w:rPr>
              <w:t xml:space="preserve"> </w:t>
            </w:r>
            <w:r w:rsidRPr="00312485">
              <w:rPr>
                <w:noProof/>
                <w:sz w:val="16"/>
                <w:szCs w:val="16"/>
                <w:lang w:val="ro-MD"/>
              </w:rPr>
              <w:t>523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715FA" w14:textId="53F3FF9A" w:rsidR="003E3F88" w:rsidRPr="00312485" w:rsidRDefault="003E3F88" w:rsidP="003E3F88">
            <w:pPr>
              <w:ind w:firstLine="0"/>
              <w:jc w:val="right"/>
              <w:rPr>
                <w:noProof/>
                <w:sz w:val="16"/>
                <w:szCs w:val="16"/>
                <w:lang w:val="ro-MD"/>
              </w:rPr>
            </w:pPr>
            <w:r w:rsidRPr="00312485">
              <w:rPr>
                <w:noProof/>
                <w:sz w:val="16"/>
                <w:szCs w:val="16"/>
                <w:lang w:val="ro-MD"/>
              </w:rPr>
              <w:t>54</w:t>
            </w:r>
            <w:r w:rsidR="00B04427" w:rsidRPr="00312485">
              <w:rPr>
                <w:noProof/>
                <w:sz w:val="16"/>
                <w:szCs w:val="16"/>
                <w:lang w:val="ro-MD"/>
              </w:rPr>
              <w:t xml:space="preserve"> </w:t>
            </w:r>
            <w:r w:rsidRPr="00312485">
              <w:rPr>
                <w:noProof/>
                <w:sz w:val="16"/>
                <w:szCs w:val="16"/>
                <w:lang w:val="ro-MD"/>
              </w:rPr>
              <w:t>835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2FC4D" w14:textId="3B9796E9" w:rsidR="003E3F88" w:rsidRPr="00312485" w:rsidRDefault="003E3F88" w:rsidP="003E3F88">
            <w:pPr>
              <w:ind w:firstLine="0"/>
              <w:jc w:val="right"/>
              <w:rPr>
                <w:noProof/>
                <w:sz w:val="16"/>
                <w:szCs w:val="16"/>
                <w:lang w:val="ro-MD"/>
              </w:rPr>
            </w:pPr>
            <w:r w:rsidRPr="00312485">
              <w:rPr>
                <w:noProof/>
                <w:sz w:val="16"/>
                <w:szCs w:val="16"/>
                <w:lang w:val="ro-MD"/>
              </w:rPr>
              <w:t>58</w:t>
            </w:r>
            <w:r w:rsidR="00B04427" w:rsidRPr="00312485">
              <w:rPr>
                <w:noProof/>
                <w:sz w:val="16"/>
                <w:szCs w:val="16"/>
                <w:lang w:val="ro-MD"/>
              </w:rPr>
              <w:t xml:space="preserve"> </w:t>
            </w:r>
            <w:r w:rsidRPr="00312485">
              <w:rPr>
                <w:noProof/>
                <w:sz w:val="16"/>
                <w:szCs w:val="16"/>
                <w:lang w:val="ro-MD"/>
              </w:rPr>
              <w:t>395</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5DFC8" w14:textId="3028F67A" w:rsidR="003E3F88" w:rsidRPr="00312485" w:rsidRDefault="003E3F88" w:rsidP="003E3F88">
            <w:pPr>
              <w:ind w:firstLine="0"/>
              <w:jc w:val="right"/>
              <w:rPr>
                <w:noProof/>
                <w:sz w:val="16"/>
                <w:szCs w:val="16"/>
                <w:lang w:val="ro-MD"/>
              </w:rPr>
            </w:pPr>
            <w:r w:rsidRPr="00312485">
              <w:rPr>
                <w:noProof/>
                <w:sz w:val="16"/>
                <w:szCs w:val="16"/>
                <w:lang w:val="ro-MD"/>
              </w:rPr>
              <w:t>62</w:t>
            </w:r>
            <w:r w:rsidR="00B04427" w:rsidRPr="00312485">
              <w:rPr>
                <w:noProof/>
                <w:sz w:val="16"/>
                <w:szCs w:val="16"/>
                <w:lang w:val="ro-MD"/>
              </w:rPr>
              <w:t xml:space="preserve"> </w:t>
            </w:r>
            <w:r w:rsidRPr="00312485">
              <w:rPr>
                <w:noProof/>
                <w:sz w:val="16"/>
                <w:szCs w:val="16"/>
                <w:lang w:val="ro-MD"/>
              </w:rPr>
              <w:t>719</w:t>
            </w:r>
          </w:p>
        </w:tc>
      </w:tr>
      <w:tr w:rsidR="00B747D4" w:rsidRPr="00312485" w14:paraId="008BCAAB" w14:textId="77777777" w:rsidTr="002C5304">
        <w:trPr>
          <w:trHeight w:val="325"/>
        </w:trPr>
        <w:tc>
          <w:tcPr>
            <w:tcW w:w="1772" w:type="pct"/>
            <w:tcBorders>
              <w:top w:val="single" w:sz="4" w:space="0" w:color="auto"/>
              <w:left w:val="single" w:sz="4" w:space="0" w:color="auto"/>
              <w:bottom w:val="single" w:sz="4" w:space="0" w:color="auto"/>
            </w:tcBorders>
            <w:shd w:val="clear" w:color="auto" w:fill="auto"/>
            <w:vAlign w:val="center"/>
            <w:hideMark/>
          </w:tcPr>
          <w:p w14:paraId="21CDE296" w14:textId="77777777" w:rsidR="00B747D4" w:rsidRPr="00312485" w:rsidRDefault="00B747D4" w:rsidP="003E3F88">
            <w:pPr>
              <w:ind w:firstLine="0"/>
              <w:jc w:val="center"/>
              <w:rPr>
                <w:noProof/>
                <w:sz w:val="16"/>
                <w:szCs w:val="16"/>
                <w:lang w:val="ro-MD"/>
              </w:rPr>
            </w:pPr>
            <w:r w:rsidRPr="00312485">
              <w:rPr>
                <w:noProof/>
                <w:sz w:val="16"/>
                <w:szCs w:val="16"/>
                <w:lang w:val="ro-MD"/>
              </w:rPr>
              <w:t> </w:t>
            </w:r>
          </w:p>
        </w:tc>
        <w:tc>
          <w:tcPr>
            <w:tcW w:w="3228" w:type="pct"/>
            <w:gridSpan w:val="7"/>
            <w:tcBorders>
              <w:top w:val="single" w:sz="4" w:space="0" w:color="auto"/>
              <w:bottom w:val="single" w:sz="4" w:space="0" w:color="auto"/>
              <w:right w:val="single" w:sz="4" w:space="0" w:color="auto"/>
            </w:tcBorders>
            <w:vAlign w:val="center"/>
          </w:tcPr>
          <w:p w14:paraId="5BA5BE8B" w14:textId="77777777" w:rsidR="00B747D4" w:rsidRPr="00312485" w:rsidRDefault="00B747D4" w:rsidP="003E3F88">
            <w:pPr>
              <w:ind w:firstLine="0"/>
              <w:jc w:val="center"/>
              <w:rPr>
                <w:b/>
                <w:bCs/>
                <w:noProof/>
                <w:sz w:val="16"/>
                <w:szCs w:val="16"/>
                <w:lang w:val="ro-MD"/>
              </w:rPr>
            </w:pPr>
            <w:r w:rsidRPr="00312485">
              <w:rPr>
                <w:b/>
                <w:bCs/>
                <w:noProof/>
                <w:sz w:val="16"/>
                <w:szCs w:val="16"/>
                <w:lang w:val="ro-MD"/>
              </w:rPr>
              <w:t>% în PIB</w:t>
            </w:r>
          </w:p>
        </w:tc>
      </w:tr>
      <w:tr w:rsidR="003E3F88" w:rsidRPr="00312485" w14:paraId="28D0125D" w14:textId="77777777" w:rsidTr="002C5304">
        <w:trPr>
          <w:trHeight w:val="450"/>
        </w:trPr>
        <w:tc>
          <w:tcPr>
            <w:tcW w:w="17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EAB261" w14:textId="77777777" w:rsidR="003E3F88" w:rsidRPr="00312485" w:rsidRDefault="003E3F88" w:rsidP="003E3F88">
            <w:pPr>
              <w:ind w:firstLine="0"/>
              <w:rPr>
                <w:b/>
                <w:bCs/>
                <w:noProof/>
                <w:sz w:val="16"/>
                <w:szCs w:val="16"/>
                <w:lang w:val="ro-MD"/>
              </w:rPr>
            </w:pPr>
            <w:r w:rsidRPr="00312485">
              <w:rPr>
                <w:b/>
                <w:bCs/>
                <w:noProof/>
                <w:sz w:val="16"/>
                <w:szCs w:val="16"/>
                <w:lang w:val="ro-MD"/>
              </w:rPr>
              <w:t>Total cheltuieli (excluzând plățile aferente dobânzilor)</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9E5D0"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37,0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25934"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36,6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5130E"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36,9</w:t>
            </w:r>
          </w:p>
        </w:tc>
        <w:tc>
          <w:tcPr>
            <w:tcW w:w="435" w:type="pct"/>
            <w:tcBorders>
              <w:top w:val="single" w:sz="4" w:space="0" w:color="auto"/>
              <w:left w:val="single" w:sz="4" w:space="0" w:color="auto"/>
              <w:bottom w:val="single" w:sz="4" w:space="0" w:color="auto"/>
              <w:right w:val="single" w:sz="4" w:space="0" w:color="auto"/>
            </w:tcBorders>
            <w:vAlign w:val="center"/>
          </w:tcPr>
          <w:p w14:paraId="2C3B5E9D"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39,1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982AD"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38,5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7184B"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38,5</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BA906" w14:textId="77777777" w:rsidR="003E3F88" w:rsidRPr="00312485" w:rsidRDefault="003E3F88" w:rsidP="003E3F88">
            <w:pPr>
              <w:ind w:firstLine="0"/>
              <w:jc w:val="right"/>
              <w:rPr>
                <w:b/>
                <w:bCs/>
                <w:noProof/>
                <w:sz w:val="16"/>
                <w:szCs w:val="16"/>
                <w:lang w:val="ro-MD"/>
              </w:rPr>
            </w:pPr>
            <w:r w:rsidRPr="00312485">
              <w:rPr>
                <w:b/>
                <w:bCs/>
                <w:noProof/>
                <w:sz w:val="16"/>
                <w:szCs w:val="16"/>
                <w:lang w:val="ro-MD"/>
              </w:rPr>
              <w:t>37,9</w:t>
            </w:r>
          </w:p>
        </w:tc>
      </w:tr>
      <w:tr w:rsidR="003E3F88" w:rsidRPr="00312485" w14:paraId="6CD1C294" w14:textId="77777777" w:rsidTr="002C5304">
        <w:trPr>
          <w:trHeight w:val="465"/>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15D42B1"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Servicii de stat cu destinație generală (excluzând plățile aferente dobânzilor)</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45007" w14:textId="77777777" w:rsidR="003E3F88" w:rsidRPr="00312485" w:rsidRDefault="003E3F88" w:rsidP="003E3F88">
            <w:pPr>
              <w:ind w:firstLine="0"/>
              <w:jc w:val="right"/>
              <w:rPr>
                <w:noProof/>
                <w:sz w:val="16"/>
                <w:szCs w:val="16"/>
                <w:lang w:val="ro-MD"/>
              </w:rPr>
            </w:pPr>
            <w:r w:rsidRPr="00312485">
              <w:rPr>
                <w:noProof/>
                <w:sz w:val="16"/>
                <w:szCs w:val="16"/>
                <w:lang w:val="ro-MD"/>
              </w:rPr>
              <w:t>2,0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DA35" w14:textId="77777777" w:rsidR="003E3F88" w:rsidRPr="00312485" w:rsidRDefault="003E3F88" w:rsidP="003E3F88">
            <w:pPr>
              <w:ind w:firstLine="0"/>
              <w:jc w:val="right"/>
              <w:rPr>
                <w:noProof/>
                <w:sz w:val="16"/>
                <w:szCs w:val="16"/>
                <w:lang w:val="ro-MD"/>
              </w:rPr>
            </w:pPr>
            <w:r w:rsidRPr="00312485">
              <w:rPr>
                <w:noProof/>
                <w:sz w:val="16"/>
                <w:szCs w:val="16"/>
                <w:lang w:val="ro-MD"/>
              </w:rPr>
              <w:t>2,1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60FE7" w14:textId="77777777" w:rsidR="003E3F88" w:rsidRPr="00312485" w:rsidRDefault="003E3F88" w:rsidP="003E3F88">
            <w:pPr>
              <w:ind w:firstLine="0"/>
              <w:jc w:val="right"/>
              <w:rPr>
                <w:noProof/>
                <w:sz w:val="16"/>
                <w:szCs w:val="16"/>
                <w:lang w:val="ro-MD"/>
              </w:rPr>
            </w:pPr>
            <w:r w:rsidRPr="00312485">
              <w:rPr>
                <w:noProof/>
                <w:sz w:val="16"/>
                <w:szCs w:val="16"/>
                <w:lang w:val="ro-MD"/>
              </w:rPr>
              <w:t>2,5</w:t>
            </w:r>
          </w:p>
        </w:tc>
        <w:tc>
          <w:tcPr>
            <w:tcW w:w="435" w:type="pct"/>
            <w:tcBorders>
              <w:top w:val="single" w:sz="4" w:space="0" w:color="auto"/>
              <w:left w:val="single" w:sz="4" w:space="0" w:color="auto"/>
              <w:bottom w:val="single" w:sz="4" w:space="0" w:color="auto"/>
              <w:right w:val="single" w:sz="4" w:space="0" w:color="auto"/>
            </w:tcBorders>
            <w:vAlign w:val="center"/>
          </w:tcPr>
          <w:p w14:paraId="4A174792" w14:textId="77777777" w:rsidR="003E3F88" w:rsidRPr="00312485" w:rsidRDefault="003E3F88" w:rsidP="003E3F88">
            <w:pPr>
              <w:ind w:firstLine="0"/>
              <w:jc w:val="right"/>
              <w:rPr>
                <w:noProof/>
                <w:sz w:val="16"/>
                <w:szCs w:val="16"/>
                <w:lang w:val="ro-MD"/>
              </w:rPr>
            </w:pPr>
            <w:r w:rsidRPr="00312485">
              <w:rPr>
                <w:noProof/>
                <w:sz w:val="16"/>
                <w:szCs w:val="16"/>
                <w:lang w:val="ro-MD"/>
              </w:rPr>
              <w:t>2,7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18C65" w14:textId="77777777" w:rsidR="003E3F88" w:rsidRPr="00312485" w:rsidRDefault="003E3F88" w:rsidP="003E3F88">
            <w:pPr>
              <w:ind w:firstLine="0"/>
              <w:jc w:val="right"/>
              <w:rPr>
                <w:noProof/>
                <w:sz w:val="16"/>
                <w:szCs w:val="16"/>
                <w:lang w:val="ro-MD"/>
              </w:rPr>
            </w:pPr>
            <w:r w:rsidRPr="00312485">
              <w:rPr>
                <w:noProof/>
                <w:sz w:val="16"/>
                <w:szCs w:val="16"/>
                <w:lang w:val="ro-MD"/>
              </w:rPr>
              <w:t>2,4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3EF28" w14:textId="77777777" w:rsidR="003E3F88" w:rsidRPr="00312485" w:rsidRDefault="003E3F88" w:rsidP="003E3F88">
            <w:pPr>
              <w:ind w:firstLine="0"/>
              <w:jc w:val="right"/>
              <w:rPr>
                <w:noProof/>
                <w:sz w:val="16"/>
                <w:szCs w:val="16"/>
                <w:lang w:val="ro-MD"/>
              </w:rPr>
            </w:pPr>
            <w:r w:rsidRPr="00312485">
              <w:rPr>
                <w:noProof/>
                <w:sz w:val="16"/>
                <w:szCs w:val="16"/>
                <w:lang w:val="ro-MD"/>
              </w:rPr>
              <w:t>2,3</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C419" w14:textId="77777777" w:rsidR="003E3F88" w:rsidRPr="00312485" w:rsidRDefault="003E3F88" w:rsidP="003E3F88">
            <w:pPr>
              <w:ind w:firstLine="0"/>
              <w:jc w:val="right"/>
              <w:rPr>
                <w:noProof/>
                <w:sz w:val="16"/>
                <w:szCs w:val="16"/>
                <w:lang w:val="ro-MD"/>
              </w:rPr>
            </w:pPr>
            <w:r w:rsidRPr="00312485">
              <w:rPr>
                <w:noProof/>
                <w:sz w:val="16"/>
                <w:szCs w:val="16"/>
                <w:lang w:val="ro-MD"/>
              </w:rPr>
              <w:t>2,3</w:t>
            </w:r>
          </w:p>
        </w:tc>
      </w:tr>
      <w:tr w:rsidR="003E3F88" w:rsidRPr="00312485" w14:paraId="5757269B"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6229D41"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Apărare națională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79943"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F603B"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B7674"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35" w:type="pct"/>
            <w:tcBorders>
              <w:top w:val="single" w:sz="4" w:space="0" w:color="auto"/>
              <w:left w:val="single" w:sz="4" w:space="0" w:color="auto"/>
              <w:bottom w:val="single" w:sz="4" w:space="0" w:color="auto"/>
              <w:right w:val="single" w:sz="4" w:space="0" w:color="auto"/>
            </w:tcBorders>
            <w:vAlign w:val="center"/>
          </w:tcPr>
          <w:p w14:paraId="5B5BEA66"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C35FA"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B061" w14:textId="77777777" w:rsidR="003E3F88" w:rsidRPr="00312485" w:rsidRDefault="003E3F88" w:rsidP="003E3F88">
            <w:pPr>
              <w:ind w:firstLine="0"/>
              <w:jc w:val="right"/>
              <w:rPr>
                <w:noProof/>
                <w:sz w:val="16"/>
                <w:szCs w:val="16"/>
                <w:lang w:val="ro-MD"/>
              </w:rPr>
            </w:pPr>
            <w:r w:rsidRPr="00312485">
              <w:rPr>
                <w:noProof/>
                <w:sz w:val="16"/>
                <w:szCs w:val="16"/>
                <w:lang w:val="ro-MD"/>
              </w:rPr>
              <w:t>0,5</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E5D1F" w14:textId="77777777" w:rsidR="003E3F88" w:rsidRPr="00312485" w:rsidRDefault="003E3F88" w:rsidP="003E3F88">
            <w:pPr>
              <w:ind w:firstLine="0"/>
              <w:jc w:val="right"/>
              <w:rPr>
                <w:noProof/>
                <w:sz w:val="16"/>
                <w:szCs w:val="16"/>
                <w:lang w:val="ro-MD"/>
              </w:rPr>
            </w:pPr>
            <w:r w:rsidRPr="00312485">
              <w:rPr>
                <w:noProof/>
                <w:sz w:val="16"/>
                <w:szCs w:val="16"/>
                <w:lang w:val="ro-MD"/>
              </w:rPr>
              <w:t>0,4</w:t>
            </w:r>
          </w:p>
        </w:tc>
      </w:tr>
      <w:tr w:rsidR="003E3F88" w:rsidRPr="00312485" w14:paraId="071EB95E"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570F8ED"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Ordine publică și securitate națională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A762A" w14:textId="77777777" w:rsidR="003E3F88" w:rsidRPr="00312485" w:rsidRDefault="003E3F88" w:rsidP="003E3F88">
            <w:pPr>
              <w:ind w:firstLine="0"/>
              <w:jc w:val="right"/>
              <w:rPr>
                <w:noProof/>
                <w:sz w:val="16"/>
                <w:szCs w:val="16"/>
                <w:lang w:val="ro-MD"/>
              </w:rPr>
            </w:pPr>
            <w:r w:rsidRPr="00312485">
              <w:rPr>
                <w:noProof/>
                <w:sz w:val="16"/>
                <w:szCs w:val="16"/>
                <w:lang w:val="ro-MD"/>
              </w:rPr>
              <w:t>2,2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3E979" w14:textId="77777777" w:rsidR="003E3F88" w:rsidRPr="00312485" w:rsidRDefault="003E3F88" w:rsidP="003E3F88">
            <w:pPr>
              <w:ind w:firstLine="0"/>
              <w:jc w:val="right"/>
              <w:rPr>
                <w:noProof/>
                <w:sz w:val="16"/>
                <w:szCs w:val="16"/>
                <w:lang w:val="ro-MD"/>
              </w:rPr>
            </w:pPr>
            <w:r w:rsidRPr="00312485">
              <w:rPr>
                <w:noProof/>
                <w:sz w:val="16"/>
                <w:szCs w:val="16"/>
                <w:lang w:val="ro-MD"/>
              </w:rPr>
              <w:t>2,2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093FB" w14:textId="77777777" w:rsidR="003E3F88" w:rsidRPr="00312485" w:rsidRDefault="003E3F88" w:rsidP="003E3F88">
            <w:pPr>
              <w:ind w:firstLine="0"/>
              <w:jc w:val="right"/>
              <w:rPr>
                <w:noProof/>
                <w:sz w:val="16"/>
                <w:szCs w:val="16"/>
                <w:lang w:val="ro-MD"/>
              </w:rPr>
            </w:pPr>
            <w:r w:rsidRPr="00312485">
              <w:rPr>
                <w:noProof/>
                <w:sz w:val="16"/>
                <w:szCs w:val="16"/>
                <w:lang w:val="ro-MD"/>
              </w:rPr>
              <w:t>2,3</w:t>
            </w:r>
          </w:p>
        </w:tc>
        <w:tc>
          <w:tcPr>
            <w:tcW w:w="435" w:type="pct"/>
            <w:tcBorders>
              <w:top w:val="single" w:sz="4" w:space="0" w:color="auto"/>
              <w:left w:val="single" w:sz="4" w:space="0" w:color="auto"/>
              <w:bottom w:val="single" w:sz="4" w:space="0" w:color="auto"/>
              <w:right w:val="single" w:sz="4" w:space="0" w:color="auto"/>
            </w:tcBorders>
            <w:vAlign w:val="center"/>
          </w:tcPr>
          <w:p w14:paraId="0339F9E6" w14:textId="77777777" w:rsidR="003E3F88" w:rsidRPr="00312485" w:rsidRDefault="003E3F88" w:rsidP="003E3F88">
            <w:pPr>
              <w:ind w:firstLine="0"/>
              <w:jc w:val="right"/>
              <w:rPr>
                <w:noProof/>
                <w:sz w:val="16"/>
                <w:szCs w:val="16"/>
                <w:lang w:val="ro-MD"/>
              </w:rPr>
            </w:pPr>
            <w:r w:rsidRPr="00312485">
              <w:rPr>
                <w:noProof/>
                <w:sz w:val="16"/>
                <w:szCs w:val="16"/>
                <w:lang w:val="ro-MD"/>
              </w:rPr>
              <w:t>2,3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4ADD1" w14:textId="77777777" w:rsidR="003E3F88" w:rsidRPr="00312485" w:rsidRDefault="003E3F88" w:rsidP="003E3F88">
            <w:pPr>
              <w:ind w:firstLine="0"/>
              <w:jc w:val="right"/>
              <w:rPr>
                <w:noProof/>
                <w:sz w:val="16"/>
                <w:szCs w:val="16"/>
                <w:lang w:val="ro-MD"/>
              </w:rPr>
            </w:pPr>
            <w:r w:rsidRPr="00312485">
              <w:rPr>
                <w:noProof/>
                <w:sz w:val="16"/>
                <w:szCs w:val="16"/>
                <w:lang w:val="ro-MD"/>
              </w:rPr>
              <w:t>2,4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D0CCA" w14:textId="77777777" w:rsidR="003E3F88" w:rsidRPr="00312485" w:rsidRDefault="003E3F88" w:rsidP="003E3F88">
            <w:pPr>
              <w:ind w:firstLine="0"/>
              <w:jc w:val="right"/>
              <w:rPr>
                <w:noProof/>
                <w:sz w:val="16"/>
                <w:szCs w:val="16"/>
                <w:lang w:val="ro-MD"/>
              </w:rPr>
            </w:pPr>
            <w:r w:rsidRPr="00312485">
              <w:rPr>
                <w:noProof/>
                <w:sz w:val="16"/>
                <w:szCs w:val="16"/>
                <w:lang w:val="ro-MD"/>
              </w:rPr>
              <w:t>2,2</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04E0B" w14:textId="77777777" w:rsidR="003E3F88" w:rsidRPr="00312485" w:rsidRDefault="003E3F88" w:rsidP="003E3F88">
            <w:pPr>
              <w:ind w:firstLine="0"/>
              <w:jc w:val="right"/>
              <w:rPr>
                <w:noProof/>
                <w:sz w:val="16"/>
                <w:szCs w:val="16"/>
                <w:lang w:val="ro-MD"/>
              </w:rPr>
            </w:pPr>
            <w:r w:rsidRPr="00312485">
              <w:rPr>
                <w:noProof/>
                <w:sz w:val="16"/>
                <w:szCs w:val="16"/>
                <w:lang w:val="ro-MD"/>
              </w:rPr>
              <w:t>2,0</w:t>
            </w:r>
          </w:p>
        </w:tc>
      </w:tr>
      <w:tr w:rsidR="003E3F88" w:rsidRPr="00312485" w14:paraId="7A3320E1"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B9F58F"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Servicii în domeniul economiei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E4172" w14:textId="77777777" w:rsidR="003E3F88" w:rsidRPr="00312485" w:rsidRDefault="003E3F88" w:rsidP="003E3F88">
            <w:pPr>
              <w:ind w:firstLine="0"/>
              <w:jc w:val="right"/>
              <w:rPr>
                <w:noProof/>
                <w:sz w:val="16"/>
                <w:szCs w:val="16"/>
                <w:lang w:val="ro-MD"/>
              </w:rPr>
            </w:pPr>
            <w:r w:rsidRPr="00312485">
              <w:rPr>
                <w:noProof/>
                <w:sz w:val="16"/>
                <w:szCs w:val="16"/>
                <w:lang w:val="ro-MD"/>
              </w:rPr>
              <w:t>3,7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18BBA" w14:textId="77777777" w:rsidR="003E3F88" w:rsidRPr="00312485" w:rsidRDefault="003E3F88" w:rsidP="003E3F88">
            <w:pPr>
              <w:ind w:firstLine="0"/>
              <w:jc w:val="right"/>
              <w:rPr>
                <w:noProof/>
                <w:sz w:val="16"/>
                <w:szCs w:val="16"/>
                <w:lang w:val="ro-MD"/>
              </w:rPr>
            </w:pPr>
            <w:r w:rsidRPr="00312485">
              <w:rPr>
                <w:noProof/>
                <w:sz w:val="16"/>
                <w:szCs w:val="16"/>
                <w:lang w:val="ro-MD"/>
              </w:rPr>
              <w:t>3,5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A4C31" w14:textId="77777777" w:rsidR="003E3F88" w:rsidRPr="00312485" w:rsidRDefault="003E3F88" w:rsidP="003E3F88">
            <w:pPr>
              <w:ind w:firstLine="0"/>
              <w:jc w:val="right"/>
              <w:rPr>
                <w:noProof/>
                <w:sz w:val="16"/>
                <w:szCs w:val="16"/>
                <w:lang w:val="ro-MD"/>
              </w:rPr>
            </w:pPr>
            <w:r w:rsidRPr="00312485">
              <w:rPr>
                <w:noProof/>
                <w:sz w:val="16"/>
                <w:szCs w:val="16"/>
                <w:lang w:val="ro-MD"/>
              </w:rPr>
              <w:t>3,3</w:t>
            </w:r>
          </w:p>
        </w:tc>
        <w:tc>
          <w:tcPr>
            <w:tcW w:w="435" w:type="pct"/>
            <w:tcBorders>
              <w:top w:val="single" w:sz="4" w:space="0" w:color="auto"/>
              <w:left w:val="single" w:sz="4" w:space="0" w:color="auto"/>
              <w:bottom w:val="single" w:sz="4" w:space="0" w:color="auto"/>
              <w:right w:val="single" w:sz="4" w:space="0" w:color="auto"/>
            </w:tcBorders>
            <w:vAlign w:val="center"/>
          </w:tcPr>
          <w:p w14:paraId="4F99C3C0" w14:textId="77777777" w:rsidR="003E3F88" w:rsidRPr="00312485" w:rsidRDefault="003E3F88" w:rsidP="003E3F88">
            <w:pPr>
              <w:ind w:firstLine="0"/>
              <w:jc w:val="right"/>
              <w:rPr>
                <w:noProof/>
                <w:sz w:val="16"/>
                <w:szCs w:val="16"/>
                <w:lang w:val="ro-MD"/>
              </w:rPr>
            </w:pPr>
            <w:r w:rsidRPr="00312485">
              <w:rPr>
                <w:noProof/>
                <w:sz w:val="16"/>
                <w:szCs w:val="16"/>
                <w:lang w:val="ro-MD"/>
              </w:rPr>
              <w:t>4,2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76F52" w14:textId="77777777" w:rsidR="003E3F88" w:rsidRPr="00312485" w:rsidRDefault="003E3F88" w:rsidP="003E3F88">
            <w:pPr>
              <w:ind w:firstLine="0"/>
              <w:jc w:val="right"/>
              <w:rPr>
                <w:noProof/>
                <w:sz w:val="16"/>
                <w:szCs w:val="16"/>
                <w:lang w:val="ro-MD"/>
              </w:rPr>
            </w:pPr>
            <w:r w:rsidRPr="00312485">
              <w:rPr>
                <w:noProof/>
                <w:sz w:val="16"/>
                <w:szCs w:val="16"/>
                <w:lang w:val="ro-MD"/>
              </w:rPr>
              <w:t>4,4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67D13" w14:textId="77777777" w:rsidR="003E3F88" w:rsidRPr="00312485" w:rsidRDefault="003E3F88" w:rsidP="003E3F88">
            <w:pPr>
              <w:ind w:firstLine="0"/>
              <w:jc w:val="right"/>
              <w:rPr>
                <w:noProof/>
                <w:sz w:val="16"/>
                <w:szCs w:val="16"/>
                <w:lang w:val="ro-MD"/>
              </w:rPr>
            </w:pPr>
            <w:r w:rsidRPr="00312485">
              <w:rPr>
                <w:noProof/>
                <w:sz w:val="16"/>
                <w:szCs w:val="16"/>
                <w:lang w:val="ro-MD"/>
              </w:rPr>
              <w:t>5,1</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9050B" w14:textId="77777777" w:rsidR="003E3F88" w:rsidRPr="00312485" w:rsidRDefault="003E3F88" w:rsidP="003E3F88">
            <w:pPr>
              <w:ind w:firstLine="0"/>
              <w:jc w:val="right"/>
              <w:rPr>
                <w:noProof/>
                <w:sz w:val="16"/>
                <w:szCs w:val="16"/>
                <w:lang w:val="ro-MD"/>
              </w:rPr>
            </w:pPr>
            <w:r w:rsidRPr="00312485">
              <w:rPr>
                <w:noProof/>
                <w:sz w:val="16"/>
                <w:szCs w:val="16"/>
                <w:lang w:val="ro-MD"/>
              </w:rPr>
              <w:t>4,4</w:t>
            </w:r>
          </w:p>
        </w:tc>
      </w:tr>
      <w:tr w:rsidR="003E3F88" w:rsidRPr="00312485" w14:paraId="0090F676"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1462F"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Protecția mediului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E4905" w14:textId="77777777" w:rsidR="003E3F88" w:rsidRPr="00312485" w:rsidRDefault="003E3F88" w:rsidP="003E3F88">
            <w:pPr>
              <w:ind w:firstLine="0"/>
              <w:jc w:val="right"/>
              <w:rPr>
                <w:noProof/>
                <w:sz w:val="16"/>
                <w:szCs w:val="16"/>
                <w:lang w:val="ro-MD"/>
              </w:rPr>
            </w:pPr>
            <w:r w:rsidRPr="00312485">
              <w:rPr>
                <w:noProof/>
                <w:sz w:val="16"/>
                <w:szCs w:val="16"/>
                <w:lang w:val="ro-MD"/>
              </w:rPr>
              <w:t>0,1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43DC0" w14:textId="77777777" w:rsidR="003E3F88" w:rsidRPr="00312485" w:rsidRDefault="003E3F88" w:rsidP="003E3F88">
            <w:pPr>
              <w:ind w:firstLine="0"/>
              <w:jc w:val="right"/>
              <w:rPr>
                <w:noProof/>
                <w:sz w:val="16"/>
                <w:szCs w:val="16"/>
                <w:lang w:val="ro-MD"/>
              </w:rPr>
            </w:pPr>
            <w:r w:rsidRPr="00312485">
              <w:rPr>
                <w:noProof/>
                <w:sz w:val="16"/>
                <w:szCs w:val="16"/>
                <w:lang w:val="ro-MD"/>
              </w:rPr>
              <w:t>0,2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1CF2E" w14:textId="77777777" w:rsidR="003E3F88" w:rsidRPr="00312485" w:rsidRDefault="003E3F88" w:rsidP="003E3F88">
            <w:pPr>
              <w:ind w:firstLine="0"/>
              <w:jc w:val="right"/>
              <w:rPr>
                <w:noProof/>
                <w:sz w:val="16"/>
                <w:szCs w:val="16"/>
                <w:lang w:val="ro-MD"/>
              </w:rPr>
            </w:pPr>
            <w:r w:rsidRPr="00312485">
              <w:rPr>
                <w:noProof/>
                <w:sz w:val="16"/>
                <w:szCs w:val="16"/>
                <w:lang w:val="ro-MD"/>
              </w:rPr>
              <w:t>0,3</w:t>
            </w:r>
          </w:p>
        </w:tc>
        <w:tc>
          <w:tcPr>
            <w:tcW w:w="435" w:type="pct"/>
            <w:tcBorders>
              <w:top w:val="single" w:sz="4" w:space="0" w:color="auto"/>
              <w:left w:val="single" w:sz="4" w:space="0" w:color="auto"/>
              <w:bottom w:val="single" w:sz="4" w:space="0" w:color="auto"/>
              <w:right w:val="single" w:sz="4" w:space="0" w:color="auto"/>
            </w:tcBorders>
            <w:vAlign w:val="center"/>
          </w:tcPr>
          <w:p w14:paraId="7CA60F25" w14:textId="77777777" w:rsidR="003E3F88" w:rsidRPr="00312485" w:rsidRDefault="003E3F88" w:rsidP="003E3F88">
            <w:pPr>
              <w:ind w:firstLine="0"/>
              <w:jc w:val="right"/>
              <w:rPr>
                <w:noProof/>
                <w:sz w:val="16"/>
                <w:szCs w:val="16"/>
                <w:lang w:val="ro-MD"/>
              </w:rPr>
            </w:pPr>
            <w:r w:rsidRPr="00312485">
              <w:rPr>
                <w:noProof/>
                <w:sz w:val="16"/>
                <w:szCs w:val="16"/>
                <w:lang w:val="ro-MD"/>
              </w:rPr>
              <w:t>0,3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FECD0" w14:textId="77777777" w:rsidR="003E3F88" w:rsidRPr="00312485" w:rsidRDefault="003E3F88" w:rsidP="003E3F88">
            <w:pPr>
              <w:ind w:firstLine="0"/>
              <w:jc w:val="right"/>
              <w:rPr>
                <w:noProof/>
                <w:sz w:val="16"/>
                <w:szCs w:val="16"/>
                <w:lang w:val="ro-MD"/>
              </w:rPr>
            </w:pPr>
            <w:r w:rsidRPr="00312485">
              <w:rPr>
                <w:noProof/>
                <w:sz w:val="16"/>
                <w:szCs w:val="16"/>
                <w:lang w:val="ro-MD"/>
              </w:rPr>
              <w:t>0,3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CB077" w14:textId="77777777" w:rsidR="003E3F88" w:rsidRPr="00312485" w:rsidRDefault="003E3F88" w:rsidP="003E3F88">
            <w:pPr>
              <w:ind w:firstLine="0"/>
              <w:jc w:val="right"/>
              <w:rPr>
                <w:noProof/>
                <w:sz w:val="16"/>
                <w:szCs w:val="16"/>
                <w:lang w:val="ro-MD"/>
              </w:rPr>
            </w:pPr>
            <w:r w:rsidRPr="00312485">
              <w:rPr>
                <w:noProof/>
                <w:sz w:val="16"/>
                <w:szCs w:val="16"/>
                <w:lang w:val="ro-MD"/>
              </w:rPr>
              <w:t>0,3</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ABB52" w14:textId="77777777" w:rsidR="003E3F88" w:rsidRPr="00312485" w:rsidRDefault="003E3F88" w:rsidP="003E3F88">
            <w:pPr>
              <w:ind w:firstLine="0"/>
              <w:jc w:val="right"/>
              <w:rPr>
                <w:noProof/>
                <w:sz w:val="16"/>
                <w:szCs w:val="16"/>
                <w:lang w:val="ro-MD"/>
              </w:rPr>
            </w:pPr>
            <w:r w:rsidRPr="00312485">
              <w:rPr>
                <w:noProof/>
                <w:sz w:val="16"/>
                <w:szCs w:val="16"/>
                <w:lang w:val="ro-MD"/>
              </w:rPr>
              <w:t>0,3</w:t>
            </w:r>
          </w:p>
        </w:tc>
      </w:tr>
      <w:tr w:rsidR="003E3F88" w:rsidRPr="00312485" w14:paraId="63A7CD25" w14:textId="77777777" w:rsidTr="002C5304">
        <w:trPr>
          <w:trHeight w:val="39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44BACC9"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Gospodăria de locuințe și gospodăria serviciilor comunale</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08365" w14:textId="77777777" w:rsidR="003E3F88" w:rsidRPr="00312485" w:rsidRDefault="003E3F88" w:rsidP="003E3F88">
            <w:pPr>
              <w:ind w:firstLine="0"/>
              <w:jc w:val="right"/>
              <w:rPr>
                <w:noProof/>
                <w:sz w:val="16"/>
                <w:szCs w:val="16"/>
                <w:lang w:val="ro-MD"/>
              </w:rPr>
            </w:pPr>
            <w:r w:rsidRPr="00312485">
              <w:rPr>
                <w:noProof/>
                <w:sz w:val="16"/>
                <w:szCs w:val="16"/>
                <w:lang w:val="ro-MD"/>
              </w:rPr>
              <w:t>1,2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D9FF8"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EC4AF"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35" w:type="pct"/>
            <w:tcBorders>
              <w:top w:val="single" w:sz="4" w:space="0" w:color="auto"/>
              <w:left w:val="single" w:sz="4" w:space="0" w:color="auto"/>
              <w:bottom w:val="single" w:sz="4" w:space="0" w:color="auto"/>
              <w:right w:val="single" w:sz="4" w:space="0" w:color="auto"/>
            </w:tcBorders>
            <w:vAlign w:val="center"/>
          </w:tcPr>
          <w:p w14:paraId="09AC5461" w14:textId="77777777" w:rsidR="003E3F88" w:rsidRPr="00312485" w:rsidRDefault="003E3F88" w:rsidP="003E3F88">
            <w:pPr>
              <w:ind w:firstLine="0"/>
              <w:jc w:val="right"/>
              <w:rPr>
                <w:noProof/>
                <w:sz w:val="16"/>
                <w:szCs w:val="16"/>
                <w:lang w:val="ro-MD"/>
              </w:rPr>
            </w:pPr>
            <w:r w:rsidRPr="00312485">
              <w:rPr>
                <w:noProof/>
                <w:sz w:val="16"/>
                <w:szCs w:val="16"/>
                <w:lang w:val="ro-MD"/>
              </w:rPr>
              <w:t>1,2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DC8CF" w14:textId="77777777" w:rsidR="003E3F88" w:rsidRPr="00312485" w:rsidRDefault="003E3F88" w:rsidP="003E3F88">
            <w:pPr>
              <w:ind w:firstLine="0"/>
              <w:jc w:val="right"/>
              <w:rPr>
                <w:noProof/>
                <w:sz w:val="16"/>
                <w:szCs w:val="16"/>
                <w:lang w:val="ro-MD"/>
              </w:rPr>
            </w:pPr>
            <w:r w:rsidRPr="00312485">
              <w:rPr>
                <w:noProof/>
                <w:sz w:val="16"/>
                <w:szCs w:val="16"/>
                <w:lang w:val="ro-MD"/>
              </w:rPr>
              <w:t>1,4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702E" w14:textId="77777777" w:rsidR="003E3F88" w:rsidRPr="00312485" w:rsidRDefault="003E3F88" w:rsidP="003E3F88">
            <w:pPr>
              <w:ind w:firstLine="0"/>
              <w:jc w:val="right"/>
              <w:rPr>
                <w:noProof/>
                <w:sz w:val="16"/>
                <w:szCs w:val="16"/>
                <w:lang w:val="ro-MD"/>
              </w:rPr>
            </w:pPr>
            <w:r w:rsidRPr="00312485">
              <w:rPr>
                <w:noProof/>
                <w:sz w:val="16"/>
                <w:szCs w:val="16"/>
                <w:lang w:val="ro-MD"/>
              </w:rPr>
              <w:t>1,2</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5A3C0" w14:textId="77777777" w:rsidR="003E3F88" w:rsidRPr="00312485" w:rsidRDefault="003E3F88" w:rsidP="003E3F88">
            <w:pPr>
              <w:ind w:firstLine="0"/>
              <w:jc w:val="right"/>
              <w:rPr>
                <w:noProof/>
                <w:sz w:val="16"/>
                <w:szCs w:val="16"/>
                <w:lang w:val="ro-MD"/>
              </w:rPr>
            </w:pPr>
            <w:r w:rsidRPr="00312485">
              <w:rPr>
                <w:noProof/>
                <w:sz w:val="16"/>
                <w:szCs w:val="16"/>
                <w:lang w:val="ro-MD"/>
              </w:rPr>
              <w:t>1,1</w:t>
            </w:r>
          </w:p>
        </w:tc>
      </w:tr>
      <w:tr w:rsidR="003E3F88" w:rsidRPr="00312485" w14:paraId="0F50A167"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7600D3"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Ocrotirea sănătății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A6635" w14:textId="77777777" w:rsidR="003E3F88" w:rsidRPr="00312485" w:rsidRDefault="003E3F88" w:rsidP="003E3F88">
            <w:pPr>
              <w:ind w:firstLine="0"/>
              <w:jc w:val="right"/>
              <w:rPr>
                <w:noProof/>
                <w:sz w:val="16"/>
                <w:szCs w:val="16"/>
                <w:lang w:val="ro-MD"/>
              </w:rPr>
            </w:pPr>
            <w:r w:rsidRPr="00312485">
              <w:rPr>
                <w:noProof/>
                <w:sz w:val="16"/>
                <w:szCs w:val="16"/>
                <w:lang w:val="ro-MD"/>
              </w:rPr>
              <w:t>5,3</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FEB00" w14:textId="77777777" w:rsidR="003E3F88" w:rsidRPr="00312485" w:rsidRDefault="003E3F88" w:rsidP="003E3F88">
            <w:pPr>
              <w:ind w:firstLine="0"/>
              <w:jc w:val="right"/>
              <w:rPr>
                <w:noProof/>
                <w:sz w:val="16"/>
                <w:szCs w:val="16"/>
                <w:lang w:val="ro-MD"/>
              </w:rPr>
            </w:pPr>
            <w:r w:rsidRPr="00312485">
              <w:rPr>
                <w:noProof/>
                <w:sz w:val="16"/>
                <w:szCs w:val="16"/>
                <w:lang w:val="ro-MD"/>
              </w:rPr>
              <w:t>5,6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7407C" w14:textId="77777777" w:rsidR="003E3F88" w:rsidRPr="00312485" w:rsidRDefault="003E3F88" w:rsidP="003E3F88">
            <w:pPr>
              <w:ind w:firstLine="0"/>
              <w:jc w:val="right"/>
              <w:rPr>
                <w:noProof/>
                <w:sz w:val="16"/>
                <w:szCs w:val="16"/>
                <w:lang w:val="ro-MD"/>
              </w:rPr>
            </w:pPr>
            <w:r w:rsidRPr="00312485">
              <w:rPr>
                <w:noProof/>
                <w:sz w:val="16"/>
                <w:szCs w:val="16"/>
                <w:lang w:val="ro-MD"/>
              </w:rPr>
              <w:t>5,6</w:t>
            </w:r>
          </w:p>
        </w:tc>
        <w:tc>
          <w:tcPr>
            <w:tcW w:w="435" w:type="pct"/>
            <w:tcBorders>
              <w:top w:val="single" w:sz="4" w:space="0" w:color="auto"/>
              <w:left w:val="single" w:sz="4" w:space="0" w:color="auto"/>
              <w:bottom w:val="single" w:sz="4" w:space="0" w:color="auto"/>
              <w:right w:val="single" w:sz="4" w:space="0" w:color="auto"/>
            </w:tcBorders>
            <w:vAlign w:val="center"/>
          </w:tcPr>
          <w:p w14:paraId="70A19495" w14:textId="77777777" w:rsidR="003E3F88" w:rsidRPr="00312485" w:rsidRDefault="003E3F88" w:rsidP="003E3F88">
            <w:pPr>
              <w:ind w:firstLine="0"/>
              <w:jc w:val="right"/>
              <w:rPr>
                <w:noProof/>
                <w:sz w:val="16"/>
                <w:szCs w:val="16"/>
                <w:lang w:val="ro-MD"/>
              </w:rPr>
            </w:pPr>
            <w:r w:rsidRPr="00312485">
              <w:rPr>
                <w:noProof/>
                <w:sz w:val="16"/>
                <w:szCs w:val="16"/>
                <w:lang w:val="ro-MD"/>
              </w:rPr>
              <w:t>5,6</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1989" w14:textId="77777777" w:rsidR="003E3F88" w:rsidRPr="00312485" w:rsidRDefault="003E3F88" w:rsidP="003E3F88">
            <w:pPr>
              <w:ind w:firstLine="0"/>
              <w:jc w:val="right"/>
              <w:rPr>
                <w:noProof/>
                <w:sz w:val="16"/>
                <w:szCs w:val="16"/>
                <w:lang w:val="ro-MD"/>
              </w:rPr>
            </w:pPr>
            <w:r w:rsidRPr="00312485">
              <w:rPr>
                <w:noProof/>
                <w:sz w:val="16"/>
                <w:szCs w:val="16"/>
                <w:lang w:val="ro-MD"/>
              </w:rPr>
              <w:t>5,7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6448E" w14:textId="77777777" w:rsidR="003E3F88" w:rsidRPr="00312485" w:rsidRDefault="003E3F88" w:rsidP="003E3F88">
            <w:pPr>
              <w:ind w:firstLine="0"/>
              <w:jc w:val="right"/>
              <w:rPr>
                <w:noProof/>
                <w:sz w:val="16"/>
                <w:szCs w:val="16"/>
                <w:lang w:val="ro-MD"/>
              </w:rPr>
            </w:pPr>
            <w:r w:rsidRPr="00312485">
              <w:rPr>
                <w:noProof/>
                <w:sz w:val="16"/>
                <w:szCs w:val="16"/>
                <w:lang w:val="ro-MD"/>
              </w:rPr>
              <w:t>5,7</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0E6BD" w14:textId="77777777" w:rsidR="003E3F88" w:rsidRPr="00312485" w:rsidRDefault="003E3F88" w:rsidP="003E3F88">
            <w:pPr>
              <w:ind w:firstLine="0"/>
              <w:jc w:val="right"/>
              <w:rPr>
                <w:noProof/>
                <w:sz w:val="16"/>
                <w:szCs w:val="16"/>
                <w:lang w:val="ro-MD"/>
              </w:rPr>
            </w:pPr>
            <w:r w:rsidRPr="00312485">
              <w:rPr>
                <w:noProof/>
                <w:sz w:val="16"/>
                <w:szCs w:val="16"/>
                <w:lang w:val="ro-MD"/>
              </w:rPr>
              <w:t>5,7</w:t>
            </w:r>
          </w:p>
        </w:tc>
      </w:tr>
      <w:tr w:rsidR="003E3F88" w:rsidRPr="00312485" w14:paraId="1171221F"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34C9D80"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Cultură, sport, tineret, culte și odihnă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2EA00"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7EC2D"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C3C95"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35" w:type="pct"/>
            <w:tcBorders>
              <w:top w:val="single" w:sz="4" w:space="0" w:color="auto"/>
              <w:left w:val="single" w:sz="4" w:space="0" w:color="auto"/>
              <w:bottom w:val="single" w:sz="4" w:space="0" w:color="auto"/>
              <w:right w:val="single" w:sz="4" w:space="0" w:color="auto"/>
            </w:tcBorders>
            <w:vAlign w:val="center"/>
          </w:tcPr>
          <w:p w14:paraId="593D0FD9"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5CB15" w14:textId="77777777" w:rsidR="003E3F88" w:rsidRPr="00312485" w:rsidRDefault="003E3F88" w:rsidP="003E3F88">
            <w:pPr>
              <w:ind w:firstLine="0"/>
              <w:jc w:val="right"/>
              <w:rPr>
                <w:noProof/>
                <w:sz w:val="16"/>
                <w:szCs w:val="16"/>
                <w:lang w:val="ro-MD"/>
              </w:rPr>
            </w:pPr>
            <w:r w:rsidRPr="00312485">
              <w:rPr>
                <w:noProof/>
                <w:sz w:val="16"/>
                <w:szCs w:val="16"/>
                <w:lang w:val="ro-MD"/>
              </w:rPr>
              <w:t>1,0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C908A" w14:textId="77777777" w:rsidR="003E3F88" w:rsidRPr="00312485" w:rsidRDefault="003E3F88" w:rsidP="003E3F88">
            <w:pPr>
              <w:ind w:firstLine="0"/>
              <w:jc w:val="right"/>
              <w:rPr>
                <w:noProof/>
                <w:sz w:val="16"/>
                <w:szCs w:val="16"/>
                <w:lang w:val="ro-MD"/>
              </w:rPr>
            </w:pPr>
            <w:r w:rsidRPr="00312485">
              <w:rPr>
                <w:noProof/>
                <w:sz w:val="16"/>
                <w:szCs w:val="16"/>
                <w:lang w:val="ro-MD"/>
              </w:rPr>
              <w:t>0,9</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C28C" w14:textId="77777777" w:rsidR="003E3F88" w:rsidRPr="00312485" w:rsidRDefault="003E3F88" w:rsidP="003E3F88">
            <w:pPr>
              <w:ind w:firstLine="0"/>
              <w:jc w:val="right"/>
              <w:rPr>
                <w:noProof/>
                <w:sz w:val="16"/>
                <w:szCs w:val="16"/>
                <w:lang w:val="ro-MD"/>
              </w:rPr>
            </w:pPr>
            <w:r w:rsidRPr="00312485">
              <w:rPr>
                <w:noProof/>
                <w:sz w:val="16"/>
                <w:szCs w:val="16"/>
                <w:lang w:val="ro-MD"/>
              </w:rPr>
              <w:t>0,9</w:t>
            </w:r>
          </w:p>
        </w:tc>
      </w:tr>
      <w:tr w:rsidR="003E3F88" w:rsidRPr="00312485" w14:paraId="6440CB35"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C36A7A6"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Învățământ</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A617A" w14:textId="77777777" w:rsidR="003E3F88" w:rsidRPr="00312485" w:rsidRDefault="003E3F88" w:rsidP="003E3F88">
            <w:pPr>
              <w:ind w:firstLine="0"/>
              <w:jc w:val="right"/>
              <w:rPr>
                <w:noProof/>
                <w:sz w:val="16"/>
                <w:szCs w:val="16"/>
                <w:lang w:val="ro-MD"/>
              </w:rPr>
            </w:pPr>
            <w:r w:rsidRPr="00312485">
              <w:rPr>
                <w:noProof/>
                <w:sz w:val="16"/>
                <w:szCs w:val="16"/>
                <w:lang w:val="ro-MD"/>
              </w:rPr>
              <w:t>6,2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3473" w14:textId="77777777" w:rsidR="003E3F88" w:rsidRPr="00312485" w:rsidRDefault="003E3F88" w:rsidP="003E3F88">
            <w:pPr>
              <w:ind w:firstLine="0"/>
              <w:jc w:val="right"/>
              <w:rPr>
                <w:noProof/>
                <w:sz w:val="16"/>
                <w:szCs w:val="16"/>
                <w:lang w:val="ro-MD"/>
              </w:rPr>
            </w:pPr>
            <w:r w:rsidRPr="00312485">
              <w:rPr>
                <w:noProof/>
                <w:sz w:val="16"/>
                <w:szCs w:val="16"/>
                <w:lang w:val="ro-MD"/>
              </w:rPr>
              <w:t>6,1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B0349" w14:textId="77777777" w:rsidR="003E3F88" w:rsidRPr="00312485" w:rsidRDefault="003E3F88" w:rsidP="003E3F88">
            <w:pPr>
              <w:ind w:firstLine="0"/>
              <w:jc w:val="right"/>
              <w:rPr>
                <w:noProof/>
                <w:sz w:val="16"/>
                <w:szCs w:val="16"/>
                <w:lang w:val="ro-MD"/>
              </w:rPr>
            </w:pPr>
            <w:r w:rsidRPr="00312485">
              <w:rPr>
                <w:noProof/>
                <w:sz w:val="16"/>
                <w:szCs w:val="16"/>
                <w:lang w:val="ro-MD"/>
              </w:rPr>
              <w:t>6,0</w:t>
            </w:r>
          </w:p>
        </w:tc>
        <w:tc>
          <w:tcPr>
            <w:tcW w:w="435" w:type="pct"/>
            <w:tcBorders>
              <w:top w:val="single" w:sz="4" w:space="0" w:color="auto"/>
              <w:left w:val="single" w:sz="4" w:space="0" w:color="auto"/>
              <w:bottom w:val="single" w:sz="4" w:space="0" w:color="auto"/>
              <w:right w:val="single" w:sz="4" w:space="0" w:color="auto"/>
            </w:tcBorders>
            <w:vAlign w:val="center"/>
          </w:tcPr>
          <w:p w14:paraId="6409C363" w14:textId="77777777" w:rsidR="003E3F88" w:rsidRPr="00312485" w:rsidRDefault="003E3F88" w:rsidP="003E3F88">
            <w:pPr>
              <w:ind w:firstLine="0"/>
              <w:jc w:val="right"/>
              <w:rPr>
                <w:noProof/>
                <w:sz w:val="16"/>
                <w:szCs w:val="16"/>
                <w:lang w:val="ro-MD"/>
              </w:rPr>
            </w:pPr>
            <w:r w:rsidRPr="00312485">
              <w:rPr>
                <w:noProof/>
                <w:sz w:val="16"/>
                <w:szCs w:val="16"/>
                <w:lang w:val="ro-MD"/>
              </w:rPr>
              <w:t>6,1</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98BD2" w14:textId="77777777" w:rsidR="003E3F88" w:rsidRPr="00312485" w:rsidRDefault="003E3F88" w:rsidP="003E3F88">
            <w:pPr>
              <w:ind w:firstLine="0"/>
              <w:jc w:val="right"/>
              <w:rPr>
                <w:noProof/>
                <w:sz w:val="16"/>
                <w:szCs w:val="16"/>
                <w:lang w:val="ro-MD"/>
              </w:rPr>
            </w:pPr>
            <w:r w:rsidRPr="00312485">
              <w:rPr>
                <w:noProof/>
                <w:sz w:val="16"/>
                <w:szCs w:val="16"/>
                <w:lang w:val="ro-MD"/>
              </w:rPr>
              <w:t>5,7</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5F5D8" w14:textId="77777777" w:rsidR="003E3F88" w:rsidRPr="00312485" w:rsidRDefault="003E3F88" w:rsidP="003E3F88">
            <w:pPr>
              <w:ind w:firstLine="0"/>
              <w:jc w:val="right"/>
              <w:rPr>
                <w:noProof/>
                <w:sz w:val="16"/>
                <w:szCs w:val="16"/>
                <w:lang w:val="ro-MD"/>
              </w:rPr>
            </w:pPr>
            <w:r w:rsidRPr="00312485">
              <w:rPr>
                <w:noProof/>
                <w:sz w:val="16"/>
                <w:szCs w:val="16"/>
                <w:lang w:val="ro-MD"/>
              </w:rPr>
              <w:t>5,4</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5314A" w14:textId="77777777" w:rsidR="003E3F88" w:rsidRPr="00312485" w:rsidRDefault="003E3F88" w:rsidP="003E3F88">
            <w:pPr>
              <w:ind w:firstLine="0"/>
              <w:jc w:val="right"/>
              <w:rPr>
                <w:noProof/>
                <w:sz w:val="16"/>
                <w:szCs w:val="16"/>
                <w:lang w:val="ro-MD"/>
              </w:rPr>
            </w:pPr>
            <w:r w:rsidRPr="00312485">
              <w:rPr>
                <w:noProof/>
                <w:sz w:val="16"/>
                <w:szCs w:val="16"/>
                <w:lang w:val="ro-MD"/>
              </w:rPr>
              <w:t>5,0</w:t>
            </w:r>
          </w:p>
        </w:tc>
      </w:tr>
      <w:tr w:rsidR="003E3F88" w:rsidRPr="00312485" w14:paraId="6B9F9594" w14:textId="77777777" w:rsidTr="002C5304">
        <w:trPr>
          <w:trHeight w:val="300"/>
        </w:trPr>
        <w:tc>
          <w:tcPr>
            <w:tcW w:w="177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C09C9A" w14:textId="77777777" w:rsidR="003E3F88" w:rsidRPr="00312485" w:rsidRDefault="003E3F88" w:rsidP="003E3F88">
            <w:pPr>
              <w:ind w:firstLineChars="100" w:firstLine="160"/>
              <w:jc w:val="left"/>
              <w:rPr>
                <w:noProof/>
                <w:sz w:val="16"/>
                <w:szCs w:val="16"/>
                <w:lang w:val="ro-MD"/>
              </w:rPr>
            </w:pPr>
            <w:r w:rsidRPr="00312485">
              <w:rPr>
                <w:noProof/>
                <w:sz w:val="16"/>
                <w:szCs w:val="16"/>
                <w:lang w:val="ro-MD"/>
              </w:rPr>
              <w:t>Protecție socială</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48C73" w14:textId="77777777" w:rsidR="003E3F88" w:rsidRPr="00312485" w:rsidRDefault="003E3F88" w:rsidP="003E3F88">
            <w:pPr>
              <w:ind w:firstLine="0"/>
              <w:jc w:val="right"/>
              <w:rPr>
                <w:noProof/>
                <w:sz w:val="16"/>
                <w:szCs w:val="16"/>
                <w:lang w:val="ro-MD"/>
              </w:rPr>
            </w:pPr>
            <w:r w:rsidRPr="00312485">
              <w:rPr>
                <w:noProof/>
                <w:sz w:val="16"/>
                <w:szCs w:val="16"/>
                <w:lang w:val="ro-MD"/>
              </w:rPr>
              <w:t>14,8</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CDCB6" w14:textId="77777777" w:rsidR="003E3F88" w:rsidRPr="00312485" w:rsidRDefault="003E3F88" w:rsidP="003E3F88">
            <w:pPr>
              <w:ind w:firstLine="0"/>
              <w:jc w:val="right"/>
              <w:rPr>
                <w:noProof/>
                <w:sz w:val="16"/>
                <w:szCs w:val="16"/>
                <w:lang w:val="ro-MD"/>
              </w:rPr>
            </w:pPr>
            <w:r w:rsidRPr="00312485">
              <w:rPr>
                <w:noProof/>
                <w:sz w:val="16"/>
                <w:szCs w:val="16"/>
                <w:lang w:val="ro-MD"/>
              </w:rPr>
              <w:t>14,5</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C1028" w14:textId="77777777" w:rsidR="003E3F88" w:rsidRPr="00312485" w:rsidRDefault="003E3F88" w:rsidP="003E3F88">
            <w:pPr>
              <w:ind w:firstLine="0"/>
              <w:jc w:val="right"/>
              <w:rPr>
                <w:noProof/>
                <w:sz w:val="16"/>
                <w:szCs w:val="16"/>
                <w:lang w:val="ro-MD"/>
              </w:rPr>
            </w:pPr>
            <w:r w:rsidRPr="00312485">
              <w:rPr>
                <w:noProof/>
                <w:sz w:val="16"/>
                <w:szCs w:val="16"/>
                <w:lang w:val="ro-MD"/>
              </w:rPr>
              <w:t>14,5</w:t>
            </w:r>
          </w:p>
        </w:tc>
        <w:tc>
          <w:tcPr>
            <w:tcW w:w="435" w:type="pct"/>
            <w:tcBorders>
              <w:top w:val="single" w:sz="4" w:space="0" w:color="auto"/>
              <w:left w:val="single" w:sz="4" w:space="0" w:color="auto"/>
              <w:bottom w:val="single" w:sz="4" w:space="0" w:color="auto"/>
              <w:right w:val="single" w:sz="4" w:space="0" w:color="auto"/>
            </w:tcBorders>
            <w:vAlign w:val="center"/>
          </w:tcPr>
          <w:p w14:paraId="0D448070" w14:textId="77777777" w:rsidR="003E3F88" w:rsidRPr="00312485" w:rsidRDefault="003E3F88" w:rsidP="003E3F88">
            <w:pPr>
              <w:ind w:firstLine="0"/>
              <w:jc w:val="right"/>
              <w:rPr>
                <w:noProof/>
                <w:sz w:val="16"/>
                <w:szCs w:val="16"/>
                <w:lang w:val="ro-MD"/>
              </w:rPr>
            </w:pPr>
            <w:r w:rsidRPr="00312485">
              <w:rPr>
                <w:noProof/>
                <w:sz w:val="16"/>
                <w:szCs w:val="16"/>
                <w:lang w:val="ro-MD"/>
              </w:rPr>
              <w:t>15,2</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FFB1E" w14:textId="77777777" w:rsidR="003E3F88" w:rsidRPr="00312485" w:rsidRDefault="003E3F88" w:rsidP="003E3F88">
            <w:pPr>
              <w:ind w:firstLine="0"/>
              <w:jc w:val="right"/>
              <w:rPr>
                <w:noProof/>
                <w:sz w:val="16"/>
                <w:szCs w:val="16"/>
                <w:lang w:val="ro-MD"/>
              </w:rPr>
            </w:pPr>
            <w:r w:rsidRPr="00312485">
              <w:rPr>
                <w:noProof/>
                <w:sz w:val="16"/>
                <w:szCs w:val="16"/>
                <w:lang w:val="ro-MD"/>
              </w:rPr>
              <w:t>14,4</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16ABD" w14:textId="77777777" w:rsidR="003E3F88" w:rsidRPr="00312485" w:rsidRDefault="003E3F88" w:rsidP="003E3F88">
            <w:pPr>
              <w:ind w:firstLine="0"/>
              <w:jc w:val="right"/>
              <w:rPr>
                <w:noProof/>
                <w:sz w:val="16"/>
                <w:szCs w:val="16"/>
                <w:lang w:val="ro-MD"/>
              </w:rPr>
            </w:pPr>
            <w:r w:rsidRPr="00312485">
              <w:rPr>
                <w:noProof/>
                <w:sz w:val="16"/>
                <w:szCs w:val="16"/>
                <w:lang w:val="ro-MD"/>
              </w:rPr>
              <w:t>14,2</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8C162" w14:textId="77777777" w:rsidR="003E3F88" w:rsidRPr="00312485" w:rsidRDefault="003E3F88" w:rsidP="003E3F88">
            <w:pPr>
              <w:ind w:firstLine="0"/>
              <w:jc w:val="right"/>
              <w:rPr>
                <w:noProof/>
                <w:sz w:val="16"/>
                <w:szCs w:val="16"/>
                <w:lang w:val="ro-MD"/>
              </w:rPr>
            </w:pPr>
            <w:r w:rsidRPr="00312485">
              <w:rPr>
                <w:noProof/>
                <w:sz w:val="16"/>
                <w:szCs w:val="16"/>
                <w:lang w:val="ro-MD"/>
              </w:rPr>
              <w:t>14,2</w:t>
            </w:r>
          </w:p>
        </w:tc>
      </w:tr>
      <w:tr w:rsidR="003E3F88" w:rsidRPr="00312485" w14:paraId="6640B21A" w14:textId="77777777" w:rsidTr="002C5304">
        <w:trPr>
          <w:trHeight w:val="319"/>
        </w:trPr>
        <w:tc>
          <w:tcPr>
            <w:tcW w:w="1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A4BD2" w14:textId="77777777" w:rsidR="003E3F88" w:rsidRPr="00312485" w:rsidRDefault="003E3F88" w:rsidP="003E3F88">
            <w:pPr>
              <w:ind w:firstLine="0"/>
              <w:jc w:val="left"/>
              <w:rPr>
                <w:rFonts w:eastAsia="Calibri"/>
                <w:i/>
                <w:iCs/>
                <w:noProof/>
                <w:lang w:val="ro-MD"/>
              </w:rPr>
            </w:pPr>
            <w:r w:rsidRPr="00312485">
              <w:rPr>
                <w:rFonts w:eastAsia="Calibri"/>
                <w:i/>
                <w:iCs/>
                <w:noProof/>
                <w:lang w:val="ro-MD"/>
              </w:rPr>
              <w:t>PIB, informativ, mil. lei</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B9746" w14:textId="6532C498" w:rsidR="003E3F88" w:rsidRPr="00312485" w:rsidRDefault="003E3F88" w:rsidP="009C62A4">
            <w:pPr>
              <w:ind w:left="-113" w:firstLine="0"/>
              <w:jc w:val="center"/>
              <w:rPr>
                <w:rFonts w:eastAsia="Calibri"/>
                <w:i/>
                <w:iCs/>
                <w:noProof/>
                <w:lang w:val="ro-MD"/>
              </w:rPr>
            </w:pPr>
            <w:r w:rsidRPr="00312485">
              <w:rPr>
                <w:rFonts w:eastAsia="Calibri"/>
                <w:i/>
                <w:iCs/>
                <w:noProof/>
                <w:sz w:val="16"/>
                <w:szCs w:val="16"/>
                <w:lang w:val="ro-MD"/>
              </w:rPr>
              <w:t>303</w:t>
            </w:r>
            <w:r w:rsidR="009C62A4" w:rsidRPr="00312485">
              <w:rPr>
                <w:rFonts w:eastAsia="Calibri"/>
                <w:i/>
                <w:iCs/>
                <w:noProof/>
                <w:sz w:val="16"/>
                <w:szCs w:val="16"/>
                <w:lang w:val="ro-MD"/>
              </w:rPr>
              <w:t xml:space="preserve"> </w:t>
            </w:r>
            <w:r w:rsidRPr="00312485">
              <w:rPr>
                <w:rFonts w:eastAsia="Calibri"/>
                <w:i/>
                <w:iCs/>
                <w:noProof/>
                <w:sz w:val="16"/>
                <w:szCs w:val="16"/>
                <w:lang w:val="ro-MD"/>
              </w:rPr>
              <w:t>600,0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7260E" w14:textId="1495A3DE" w:rsidR="003E3F88" w:rsidRPr="00312485" w:rsidRDefault="003E3F88" w:rsidP="009C62A4">
            <w:pPr>
              <w:ind w:left="-113" w:firstLine="0"/>
              <w:jc w:val="center"/>
              <w:rPr>
                <w:rFonts w:eastAsia="Calibri"/>
                <w:i/>
                <w:iCs/>
                <w:noProof/>
                <w:sz w:val="16"/>
                <w:szCs w:val="16"/>
                <w:lang w:val="ro-MD"/>
              </w:rPr>
            </w:pPr>
            <w:r w:rsidRPr="00312485">
              <w:rPr>
                <w:rFonts w:eastAsia="Calibri"/>
                <w:i/>
                <w:iCs/>
                <w:noProof/>
                <w:sz w:val="16"/>
                <w:szCs w:val="16"/>
                <w:lang w:val="ro-MD"/>
              </w:rPr>
              <w:t>323</w:t>
            </w:r>
            <w:r w:rsidR="009C62A4" w:rsidRPr="00312485">
              <w:rPr>
                <w:rFonts w:eastAsia="Calibri"/>
                <w:i/>
                <w:iCs/>
                <w:noProof/>
                <w:sz w:val="16"/>
                <w:szCs w:val="16"/>
                <w:lang w:val="ro-MD"/>
              </w:rPr>
              <w:t xml:space="preserve"> </w:t>
            </w:r>
            <w:r w:rsidRPr="00312485">
              <w:rPr>
                <w:rFonts w:eastAsia="Calibri"/>
                <w:i/>
                <w:iCs/>
                <w:noProof/>
                <w:sz w:val="16"/>
                <w:szCs w:val="16"/>
                <w:lang w:val="ro-MD"/>
              </w:rPr>
              <w:t>800,0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BC7D1" w14:textId="38F34312" w:rsidR="003E3F88" w:rsidRPr="00312485" w:rsidRDefault="003E3F88" w:rsidP="009C62A4">
            <w:pPr>
              <w:ind w:left="-114" w:firstLine="0"/>
              <w:jc w:val="center"/>
              <w:rPr>
                <w:rFonts w:eastAsia="Calibri"/>
                <w:i/>
                <w:iCs/>
                <w:noProof/>
                <w:sz w:val="16"/>
                <w:szCs w:val="16"/>
                <w:lang w:val="ro-MD"/>
              </w:rPr>
            </w:pPr>
            <w:r w:rsidRPr="00312485">
              <w:rPr>
                <w:rFonts w:eastAsia="Calibri"/>
                <w:i/>
                <w:iCs/>
                <w:noProof/>
                <w:sz w:val="16"/>
                <w:szCs w:val="16"/>
                <w:lang w:val="ro-MD"/>
              </w:rPr>
              <w:t>348</w:t>
            </w:r>
            <w:r w:rsidR="009C62A4" w:rsidRPr="00312485">
              <w:rPr>
                <w:rFonts w:eastAsia="Calibri"/>
                <w:i/>
                <w:iCs/>
                <w:noProof/>
                <w:sz w:val="16"/>
                <w:szCs w:val="16"/>
                <w:lang w:val="ro-MD"/>
              </w:rPr>
              <w:t xml:space="preserve"> </w:t>
            </w:r>
            <w:r w:rsidRPr="00312485">
              <w:rPr>
                <w:rFonts w:eastAsia="Calibri"/>
                <w:i/>
                <w:iCs/>
                <w:noProof/>
                <w:sz w:val="16"/>
                <w:szCs w:val="16"/>
                <w:lang w:val="ro-MD"/>
              </w:rPr>
              <w:t>400,0</w:t>
            </w:r>
          </w:p>
        </w:tc>
        <w:tc>
          <w:tcPr>
            <w:tcW w:w="435" w:type="pct"/>
            <w:tcBorders>
              <w:top w:val="single" w:sz="4" w:space="0" w:color="auto"/>
              <w:left w:val="single" w:sz="4" w:space="0" w:color="auto"/>
              <w:bottom w:val="single" w:sz="4" w:space="0" w:color="auto"/>
              <w:right w:val="single" w:sz="4" w:space="0" w:color="auto"/>
            </w:tcBorders>
            <w:vAlign w:val="center"/>
          </w:tcPr>
          <w:p w14:paraId="719D89DE" w14:textId="488560A4" w:rsidR="003E3F88" w:rsidRPr="00312485" w:rsidRDefault="003E3F88" w:rsidP="009C62A4">
            <w:pPr>
              <w:ind w:left="-78" w:right="-55" w:firstLine="0"/>
              <w:jc w:val="left"/>
              <w:rPr>
                <w:rFonts w:eastAsia="Calibri"/>
                <w:i/>
                <w:iCs/>
                <w:noProof/>
                <w:sz w:val="16"/>
                <w:szCs w:val="16"/>
                <w:lang w:val="ro-MD"/>
              </w:rPr>
            </w:pPr>
            <w:r w:rsidRPr="00312485">
              <w:rPr>
                <w:rFonts w:eastAsia="Calibri"/>
                <w:i/>
                <w:iCs/>
                <w:noProof/>
                <w:sz w:val="16"/>
                <w:szCs w:val="16"/>
                <w:lang w:val="ro-MD"/>
              </w:rPr>
              <w:t>351</w:t>
            </w:r>
            <w:r w:rsidR="009C62A4" w:rsidRPr="00312485">
              <w:rPr>
                <w:rFonts w:eastAsia="Calibri"/>
                <w:i/>
                <w:iCs/>
                <w:noProof/>
                <w:sz w:val="16"/>
                <w:szCs w:val="16"/>
                <w:lang w:val="ro-MD"/>
              </w:rPr>
              <w:t xml:space="preserve"> </w:t>
            </w:r>
            <w:r w:rsidRPr="00312485">
              <w:rPr>
                <w:rFonts w:eastAsia="Calibri"/>
                <w:i/>
                <w:iCs/>
                <w:noProof/>
                <w:sz w:val="16"/>
                <w:szCs w:val="16"/>
                <w:lang w:val="ro-MD"/>
              </w:rPr>
              <w:t>100,0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F0E0C" w14:textId="6037409A" w:rsidR="003E3F88" w:rsidRPr="00312485" w:rsidRDefault="003E3F88" w:rsidP="009C62A4">
            <w:pPr>
              <w:ind w:right="-5" w:firstLine="0"/>
              <w:jc w:val="left"/>
              <w:rPr>
                <w:rFonts w:eastAsia="Calibri"/>
                <w:i/>
                <w:iCs/>
                <w:noProof/>
                <w:sz w:val="16"/>
                <w:szCs w:val="16"/>
                <w:lang w:val="ro-MD"/>
              </w:rPr>
            </w:pPr>
            <w:r w:rsidRPr="00312485">
              <w:rPr>
                <w:rFonts w:eastAsia="Calibri"/>
                <w:i/>
                <w:iCs/>
                <w:noProof/>
                <w:sz w:val="16"/>
                <w:szCs w:val="16"/>
                <w:lang w:val="ro-MD"/>
              </w:rPr>
              <w:t>380</w:t>
            </w:r>
            <w:r w:rsidR="009C62A4" w:rsidRPr="00312485">
              <w:rPr>
                <w:rFonts w:eastAsia="Calibri"/>
                <w:i/>
                <w:iCs/>
                <w:noProof/>
                <w:sz w:val="16"/>
                <w:szCs w:val="16"/>
                <w:lang w:val="ro-MD"/>
              </w:rPr>
              <w:t xml:space="preserve"> </w:t>
            </w:r>
            <w:r w:rsidRPr="00312485">
              <w:rPr>
                <w:rFonts w:eastAsia="Calibri"/>
                <w:i/>
                <w:iCs/>
                <w:noProof/>
                <w:sz w:val="16"/>
                <w:szCs w:val="16"/>
                <w:lang w:val="ro-MD"/>
              </w:rPr>
              <w:t>300,0</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ABAB4" w14:textId="29FBB8B0" w:rsidR="003E3F88" w:rsidRPr="00312485" w:rsidRDefault="003E3F88" w:rsidP="009C62A4">
            <w:pPr>
              <w:ind w:left="-79" w:firstLine="0"/>
              <w:jc w:val="right"/>
              <w:rPr>
                <w:rFonts w:eastAsia="Calibri"/>
                <w:i/>
                <w:iCs/>
                <w:noProof/>
                <w:sz w:val="16"/>
                <w:szCs w:val="16"/>
                <w:lang w:val="ro-MD"/>
              </w:rPr>
            </w:pPr>
            <w:r w:rsidRPr="00312485">
              <w:rPr>
                <w:rFonts w:eastAsia="Calibri"/>
                <w:i/>
                <w:iCs/>
                <w:noProof/>
                <w:sz w:val="16"/>
                <w:szCs w:val="16"/>
                <w:lang w:val="ro-MD"/>
              </w:rPr>
              <w:t>411</w:t>
            </w:r>
            <w:r w:rsidR="009C62A4" w:rsidRPr="00312485">
              <w:rPr>
                <w:rFonts w:eastAsia="Calibri"/>
                <w:i/>
                <w:iCs/>
                <w:noProof/>
                <w:sz w:val="16"/>
                <w:szCs w:val="16"/>
                <w:lang w:val="ro-MD"/>
              </w:rPr>
              <w:t xml:space="preserve"> </w:t>
            </w:r>
            <w:r w:rsidRPr="00312485">
              <w:rPr>
                <w:rFonts w:eastAsia="Calibri"/>
                <w:i/>
                <w:iCs/>
                <w:noProof/>
                <w:sz w:val="16"/>
                <w:szCs w:val="16"/>
                <w:lang w:val="ro-MD"/>
              </w:rPr>
              <w:t>700,0</w:t>
            </w:r>
          </w:p>
        </w:tc>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944C9" w14:textId="74E6EFB5" w:rsidR="003E3F88" w:rsidRPr="00312485" w:rsidRDefault="003E3F88" w:rsidP="003E3F88">
            <w:pPr>
              <w:ind w:firstLine="0"/>
              <w:jc w:val="right"/>
              <w:rPr>
                <w:rFonts w:eastAsia="Calibri"/>
                <w:i/>
                <w:iCs/>
                <w:noProof/>
                <w:sz w:val="16"/>
                <w:szCs w:val="16"/>
                <w:lang w:val="ro-MD"/>
              </w:rPr>
            </w:pPr>
            <w:r w:rsidRPr="00312485">
              <w:rPr>
                <w:rFonts w:eastAsia="Calibri"/>
                <w:i/>
                <w:iCs/>
                <w:noProof/>
                <w:sz w:val="16"/>
                <w:szCs w:val="16"/>
                <w:lang w:val="ro-MD"/>
              </w:rPr>
              <w:t>440</w:t>
            </w:r>
            <w:r w:rsidR="009C62A4" w:rsidRPr="00312485">
              <w:rPr>
                <w:rFonts w:eastAsia="Calibri"/>
                <w:i/>
                <w:iCs/>
                <w:noProof/>
                <w:sz w:val="16"/>
                <w:szCs w:val="16"/>
                <w:lang w:val="ro-MD"/>
              </w:rPr>
              <w:t xml:space="preserve"> </w:t>
            </w:r>
            <w:r w:rsidRPr="00312485">
              <w:rPr>
                <w:rFonts w:eastAsia="Calibri"/>
                <w:i/>
                <w:iCs/>
                <w:noProof/>
                <w:sz w:val="16"/>
                <w:szCs w:val="16"/>
                <w:lang w:val="ro-MD"/>
              </w:rPr>
              <w:t>700,0</w:t>
            </w:r>
          </w:p>
        </w:tc>
      </w:tr>
    </w:tbl>
    <w:p w14:paraId="7F3892D5" w14:textId="77777777" w:rsidR="00C90457" w:rsidRPr="00312485" w:rsidRDefault="00C90457" w:rsidP="00C90457">
      <w:pPr>
        <w:keepNext/>
        <w:tabs>
          <w:tab w:val="left" w:pos="397"/>
        </w:tabs>
        <w:ind w:firstLine="284"/>
        <w:jc w:val="left"/>
        <w:outlineLvl w:val="1"/>
        <w:rPr>
          <w:rFonts w:eastAsia="Calibri"/>
          <w:noProof/>
          <w:sz w:val="16"/>
          <w:lang w:val="ro-MD"/>
        </w:rPr>
      </w:pPr>
      <w:r w:rsidRPr="00312485">
        <w:rPr>
          <w:i/>
          <w:noProof/>
          <w:color w:val="000000"/>
          <w:sz w:val="16"/>
          <w:lang w:val="ro-MD" w:eastAsia="ro-RO"/>
        </w:rPr>
        <w:t>Sursa:  Ministerul Finanțelor</w:t>
      </w:r>
    </w:p>
    <w:p w14:paraId="140EFD7F" w14:textId="1524E82F" w:rsidR="003570CA" w:rsidRPr="00312485" w:rsidRDefault="003570CA" w:rsidP="003570CA">
      <w:pPr>
        <w:jc w:val="center"/>
        <w:rPr>
          <w:b/>
          <w:sz w:val="24"/>
          <w:szCs w:val="24"/>
          <w:highlight w:val="yellow"/>
          <w:lang w:val="ro-MD"/>
        </w:rPr>
      </w:pPr>
    </w:p>
    <w:p w14:paraId="5310D258" w14:textId="77777777" w:rsidR="00995E53" w:rsidRPr="00312485" w:rsidRDefault="00995E53" w:rsidP="00995E53">
      <w:pPr>
        <w:ind w:firstLine="720"/>
        <w:rPr>
          <w:rFonts w:eastAsia="Calibri"/>
          <w:noProof/>
          <w:sz w:val="24"/>
          <w:szCs w:val="24"/>
          <w:lang w:val="ro-MD"/>
        </w:rPr>
      </w:pPr>
      <w:r w:rsidRPr="00312485">
        <w:rPr>
          <w:rFonts w:eastAsia="Calibri"/>
          <w:noProof/>
          <w:sz w:val="24"/>
          <w:szCs w:val="24"/>
          <w:lang w:val="ro-MD"/>
        </w:rPr>
        <w:t xml:space="preserve">Pentru perioada 2026-2028 cele mai mari majorări de alocații atât în valori nominale, cât și ca pondere în PIB </w:t>
      </w:r>
      <w:r w:rsidRPr="00E53AD3">
        <w:rPr>
          <w:rFonts w:eastAsia="Calibri"/>
          <w:i/>
          <w:noProof/>
          <w:sz w:val="24"/>
          <w:szCs w:val="24"/>
          <w:lang w:val="ro-MD"/>
        </w:rPr>
        <w:t>se prognozează pentru domeniile economice</w:t>
      </w:r>
      <w:r w:rsidRPr="00312485">
        <w:rPr>
          <w:rFonts w:eastAsia="Calibri"/>
          <w:noProof/>
          <w:sz w:val="24"/>
          <w:szCs w:val="24"/>
          <w:lang w:val="ro-MD"/>
        </w:rPr>
        <w:t xml:space="preserve">, reflectând intențiile de susținere a afacerilor, agriculturii, de dezvoltare a infrastructurii energetice, infrastructurii drumurilor și a mediului rural, ceea ce va contribui la creșterea economică a țării. Însumate, </w:t>
      </w:r>
      <w:r w:rsidRPr="00312485">
        <w:rPr>
          <w:rFonts w:eastAsia="Calibri"/>
          <w:noProof/>
          <w:sz w:val="24"/>
          <w:szCs w:val="24"/>
          <w:lang w:val="ro-MD"/>
        </w:rPr>
        <w:lastRenderedPageBreak/>
        <w:t>aceste domenii în anul 2028 vor înregistra o creștere de peste 1,6 ori comparativ cu estimările aprobate inițial pentru anul 2025.</w:t>
      </w:r>
    </w:p>
    <w:p w14:paraId="476257A1" w14:textId="77777777" w:rsidR="00995E53" w:rsidRPr="00312485" w:rsidRDefault="00995E53" w:rsidP="00995E53">
      <w:pPr>
        <w:ind w:firstLine="720"/>
        <w:rPr>
          <w:rFonts w:eastAsia="Calibri"/>
          <w:noProof/>
          <w:sz w:val="24"/>
          <w:szCs w:val="24"/>
          <w:lang w:val="ro-MD"/>
        </w:rPr>
      </w:pPr>
      <w:r w:rsidRPr="00312485">
        <w:rPr>
          <w:rFonts w:eastAsia="Calibri"/>
          <w:noProof/>
          <w:sz w:val="24"/>
          <w:szCs w:val="24"/>
          <w:lang w:val="ro-MD"/>
        </w:rPr>
        <w:t xml:space="preserve">Concomitent, ponderea majoră în totalul cheltuielilor bugetului public național  (excluzând dobânzile) reprezintă cheltuielile pentru </w:t>
      </w:r>
      <w:r w:rsidRPr="00312485">
        <w:rPr>
          <w:rFonts w:eastAsia="Calibri"/>
          <w:i/>
          <w:noProof/>
          <w:sz w:val="24"/>
          <w:szCs w:val="24"/>
          <w:lang w:val="ro-MD"/>
        </w:rPr>
        <w:t>protecție socială</w:t>
      </w:r>
      <w:r w:rsidRPr="00312485">
        <w:rPr>
          <w:rFonts w:eastAsia="Calibri"/>
          <w:noProof/>
          <w:sz w:val="24"/>
          <w:szCs w:val="24"/>
          <w:lang w:val="ro-MD"/>
        </w:rPr>
        <w:t xml:space="preserve">. Ponderea acestor cheltuieli pentru perioada 2026-2028 în medie va constitui 37,3%. Creșterea în valori nominale a acestei grupe de cheltuieli publice este determinată de obligativitatea indexării anuale a prestațiilor sociale și de majorarea numărului beneficiarilor de prestații sociale. Astfel, se prognozează creșterea cheltuielilor respective cu circa 6,5 % în anul 2027 față de anul 2026 și cu circa 7,4 % în anul 2028 față de anul 2027. </w:t>
      </w:r>
    </w:p>
    <w:p w14:paraId="22C89747" w14:textId="77777777" w:rsidR="00995E53" w:rsidRPr="00312485" w:rsidRDefault="00995E53" w:rsidP="00995E53">
      <w:pPr>
        <w:ind w:firstLine="720"/>
        <w:rPr>
          <w:rFonts w:eastAsia="Calibri"/>
          <w:noProof/>
          <w:sz w:val="24"/>
          <w:szCs w:val="24"/>
          <w:lang w:val="ro-MD"/>
        </w:rPr>
      </w:pPr>
      <w:r w:rsidRPr="00312485">
        <w:rPr>
          <w:rFonts w:eastAsia="Calibri"/>
          <w:noProof/>
          <w:sz w:val="24"/>
          <w:szCs w:val="24"/>
          <w:lang w:val="ro-MD"/>
        </w:rPr>
        <w:t xml:space="preserve">Cheltuielile pentru </w:t>
      </w:r>
      <w:r w:rsidRPr="00312485">
        <w:rPr>
          <w:rFonts w:eastAsia="Calibri"/>
          <w:i/>
          <w:noProof/>
          <w:sz w:val="24"/>
          <w:szCs w:val="24"/>
          <w:lang w:val="ro-MD"/>
        </w:rPr>
        <w:t>ocrotirea sănătății</w:t>
      </w:r>
      <w:r w:rsidRPr="00312485">
        <w:rPr>
          <w:rFonts w:eastAsia="Calibri"/>
          <w:noProof/>
          <w:sz w:val="24"/>
          <w:szCs w:val="24"/>
          <w:lang w:val="ro-MD"/>
        </w:rPr>
        <w:t xml:space="preserve"> se prognozează în creștere cu 29 % în anul 2028 comparativ cu anul 2025, fiind influențate de majorarea cheltuielilor pentru asistența medicală din cadrul fondurilor asigurării obligatorii de asistență medicală și a  cheltuielilor pentru dezvoltarea bazei tehnico-materiale a instituțiilor medicale. </w:t>
      </w:r>
    </w:p>
    <w:p w14:paraId="5D15338F" w14:textId="26207F37" w:rsidR="00D94CAE" w:rsidRPr="00312485" w:rsidRDefault="00362440" w:rsidP="008653E7">
      <w:pPr>
        <w:spacing w:before="240" w:after="240" w:line="276" w:lineRule="auto"/>
        <w:ind w:left="403" w:firstLine="164"/>
        <w:outlineLvl w:val="1"/>
        <w:rPr>
          <w:rFonts w:eastAsia="Calibri"/>
          <w:b/>
          <w:noProof/>
          <w:sz w:val="24"/>
          <w:szCs w:val="26"/>
          <w:lang w:val="ro-MD"/>
        </w:rPr>
      </w:pPr>
      <w:bookmarkStart w:id="3" w:name="_Toc175825359"/>
      <w:r w:rsidRPr="00312485">
        <w:rPr>
          <w:rFonts w:eastAsia="Calibri"/>
          <w:b/>
          <w:noProof/>
          <w:sz w:val="24"/>
          <w:szCs w:val="26"/>
          <w:lang w:val="ro-MD"/>
        </w:rPr>
        <w:t>C</w:t>
      </w:r>
      <w:r w:rsidR="00D94CAE" w:rsidRPr="00312485">
        <w:rPr>
          <w:rFonts w:eastAsia="Calibri"/>
          <w:b/>
          <w:noProof/>
          <w:sz w:val="24"/>
          <w:szCs w:val="26"/>
          <w:lang w:val="ro-MD"/>
        </w:rPr>
        <w:t>. Proiecte finanțate din surse externe</w:t>
      </w:r>
      <w:bookmarkEnd w:id="3"/>
    </w:p>
    <w:p w14:paraId="5843C69E" w14:textId="5A81185E" w:rsidR="00D94CAE" w:rsidRPr="00312485" w:rsidRDefault="00D94CAE" w:rsidP="0007637A">
      <w:pPr>
        <w:tabs>
          <w:tab w:val="left" w:pos="403"/>
        </w:tabs>
        <w:ind w:firstLine="567"/>
        <w:rPr>
          <w:rFonts w:eastAsia="Calibri"/>
          <w:noProof/>
          <w:sz w:val="24"/>
          <w:szCs w:val="28"/>
          <w:lang w:val="ro-MD"/>
        </w:rPr>
      </w:pPr>
      <w:r w:rsidRPr="00312485">
        <w:rPr>
          <w:rFonts w:eastAsia="Calibri"/>
          <w:noProof/>
          <w:sz w:val="24"/>
          <w:szCs w:val="24"/>
          <w:lang w:val="ro-MD"/>
        </w:rPr>
        <w:tab/>
      </w:r>
      <w:r w:rsidRPr="00312485">
        <w:rPr>
          <w:rFonts w:eastAsia="Calibri"/>
          <w:noProof/>
          <w:sz w:val="24"/>
          <w:szCs w:val="28"/>
          <w:lang w:val="ro-MD"/>
        </w:rPr>
        <w:t xml:space="preserve">Cheltuielile destinate implementării </w:t>
      </w:r>
      <w:r w:rsidRPr="00312485">
        <w:rPr>
          <w:rFonts w:eastAsia="Calibri"/>
          <w:bCs/>
          <w:i/>
          <w:iCs/>
          <w:noProof/>
          <w:sz w:val="24"/>
          <w:szCs w:val="28"/>
          <w:lang w:val="ro-MD"/>
        </w:rPr>
        <w:t>proiectelor finanțate din surse externe</w:t>
      </w:r>
      <w:r w:rsidRPr="00312485">
        <w:rPr>
          <w:rFonts w:eastAsia="Calibri"/>
          <w:noProof/>
          <w:sz w:val="24"/>
          <w:szCs w:val="28"/>
          <w:lang w:val="ro-MD"/>
        </w:rPr>
        <w:t xml:space="preserve"> se estimează cu o creștere de la 3 921 mil. lei în anul 2025 până la 7 814 mil. lei în anul 2028 sau cu </w:t>
      </w:r>
      <w:r w:rsidRPr="00312485">
        <w:rPr>
          <w:rFonts w:eastAsia="Calibri"/>
          <w:noProof/>
          <w:sz w:val="24"/>
          <w:szCs w:val="28"/>
          <w:lang w:val="ro-MD"/>
        </w:rPr>
        <w:br/>
        <w:t>3 893 mil. lei. În anii respectivi vor derula circa 80 de proiecte finanțate din surse externe.</w:t>
      </w:r>
    </w:p>
    <w:p w14:paraId="3B278B0B" w14:textId="76B1857B" w:rsidR="00D94CAE" w:rsidRPr="00312485" w:rsidRDefault="00D94CAE" w:rsidP="0007637A">
      <w:pPr>
        <w:tabs>
          <w:tab w:val="left" w:pos="993"/>
        </w:tabs>
        <w:ind w:firstLine="567"/>
        <w:rPr>
          <w:rFonts w:eastAsia="Calibri"/>
          <w:noProof/>
          <w:sz w:val="24"/>
          <w:szCs w:val="26"/>
          <w:lang w:val="ro-MD"/>
        </w:rPr>
      </w:pPr>
      <w:r w:rsidRPr="00312485">
        <w:rPr>
          <w:rFonts w:eastAsia="Calibri"/>
          <w:noProof/>
          <w:sz w:val="24"/>
          <w:szCs w:val="28"/>
          <w:lang w:val="ro-MD"/>
        </w:rPr>
        <w:t xml:space="preserve">Pentru anul 2026, proiectele finanțate din surse externe se estimează în sumă de </w:t>
      </w:r>
      <w:r w:rsidRPr="00312485">
        <w:rPr>
          <w:rFonts w:eastAsia="Calibri"/>
          <w:noProof/>
          <w:sz w:val="24"/>
          <w:szCs w:val="28"/>
          <w:lang w:val="ro-MD"/>
        </w:rPr>
        <w:br/>
        <w:t xml:space="preserve">5 852 mil. lei, dintre care principalele sectoare reprezintă 85,4 </w:t>
      </w:r>
      <w:r w:rsidRPr="00312485">
        <w:rPr>
          <w:rFonts w:eastAsia="Calibri"/>
          <w:noProof/>
          <w:sz w:val="24"/>
          <w:szCs w:val="26"/>
          <w:lang w:val="ro-MD"/>
        </w:rPr>
        <w:t xml:space="preserve">% din totalul proiectelor </w:t>
      </w:r>
      <w:r w:rsidR="007814A4" w:rsidRPr="00312485">
        <w:rPr>
          <w:rFonts w:eastAsia="Calibri"/>
          <w:noProof/>
          <w:sz w:val="24"/>
          <w:szCs w:val="26"/>
          <w:lang w:val="ro-MD"/>
        </w:rPr>
        <w:t>finanțare din surse externe):</w:t>
      </w:r>
    </w:p>
    <w:p w14:paraId="770DF132" w14:textId="00992C82"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transporturi – 31,4 %</w:t>
      </w:r>
      <w:r w:rsidR="007814A4" w:rsidRPr="00312485">
        <w:rPr>
          <w:rFonts w:eastAsia="Calibri"/>
          <w:noProof/>
          <w:sz w:val="24"/>
          <w:szCs w:val="26"/>
          <w:lang w:val="ro-MD"/>
        </w:rPr>
        <w:t>;</w:t>
      </w:r>
    </w:p>
    <w:p w14:paraId="6CEB00F3" w14:textId="77777777"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agricultura – 18,3%;</w:t>
      </w:r>
    </w:p>
    <w:p w14:paraId="0E9058CD" w14:textId="77777777"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gospodăria de locuințe – 9,3 %;</w:t>
      </w:r>
    </w:p>
    <w:p w14:paraId="52AB60F3" w14:textId="77777777"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educație – 8,1 %;</w:t>
      </w:r>
    </w:p>
    <w:p w14:paraId="13B33820" w14:textId="77777777"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sănătate – 6,9 %;</w:t>
      </w:r>
    </w:p>
    <w:p w14:paraId="5D7CE20A" w14:textId="3CA940D4"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energetica – 6,1 %</w:t>
      </w:r>
      <w:r w:rsidR="00BA112D">
        <w:rPr>
          <w:rFonts w:eastAsia="Calibri"/>
          <w:noProof/>
          <w:sz w:val="24"/>
          <w:szCs w:val="26"/>
          <w:lang w:val="ro-MD"/>
        </w:rPr>
        <w:t>;</w:t>
      </w:r>
    </w:p>
    <w:p w14:paraId="1AF87F3D" w14:textId="77777777" w:rsidR="00D94CAE" w:rsidRPr="00312485" w:rsidRDefault="00D94CAE" w:rsidP="0007637A">
      <w:pPr>
        <w:numPr>
          <w:ilvl w:val="0"/>
          <w:numId w:val="37"/>
        </w:numPr>
        <w:tabs>
          <w:tab w:val="left" w:pos="403"/>
          <w:tab w:val="left" w:pos="993"/>
        </w:tabs>
        <w:spacing w:after="160" w:line="259" w:lineRule="auto"/>
        <w:ind w:left="0" w:firstLine="567"/>
        <w:contextualSpacing/>
        <w:jc w:val="left"/>
        <w:rPr>
          <w:rFonts w:eastAsia="Calibri"/>
          <w:noProof/>
          <w:sz w:val="24"/>
          <w:szCs w:val="26"/>
          <w:lang w:val="ro-MD"/>
        </w:rPr>
      </w:pPr>
      <w:r w:rsidRPr="00312485">
        <w:rPr>
          <w:rFonts w:eastAsia="Calibri"/>
          <w:noProof/>
          <w:sz w:val="24"/>
          <w:szCs w:val="26"/>
          <w:lang w:val="ro-MD"/>
        </w:rPr>
        <w:t>protecția mediului – 5,3%.</w:t>
      </w:r>
    </w:p>
    <w:p w14:paraId="4A360653" w14:textId="77777777" w:rsidR="00D94CAE" w:rsidRPr="00312485" w:rsidRDefault="00D94CAE" w:rsidP="0007637A">
      <w:pPr>
        <w:tabs>
          <w:tab w:val="left" w:pos="993"/>
        </w:tabs>
        <w:ind w:firstLine="567"/>
        <w:rPr>
          <w:rFonts w:eastAsia="Calibri"/>
          <w:noProof/>
          <w:sz w:val="24"/>
          <w:szCs w:val="28"/>
          <w:lang w:val="ro-MD"/>
        </w:rPr>
      </w:pPr>
      <w:r w:rsidRPr="00312485">
        <w:rPr>
          <w:rFonts w:eastAsia="Calibri"/>
          <w:noProof/>
          <w:sz w:val="24"/>
          <w:szCs w:val="28"/>
          <w:lang w:val="ro-MD"/>
        </w:rPr>
        <w:t>Proiectele finanțate din surse externe au fost estimate în conformitate cu acordurile în vigoare. Dat fiind cererea mare din partea autorităților în ce privește atragerea resurselor externe pentru proiecte noi sau continuarea proiectelor existente în perioada 2027-2028, în special în domeniile energiei și transporturilor, cheltuielile respective vor fi revizuite în cadrul următoarelor exerciții de elaborare a bugetului și a CBTM, în funcție de spațiul fiscal disponibil și de capacitățile autorităților de implementare a proiectelor.</w:t>
      </w:r>
    </w:p>
    <w:p w14:paraId="4A2E78AA" w14:textId="77777777" w:rsidR="003570CA" w:rsidRPr="00312485" w:rsidRDefault="003570CA" w:rsidP="003570CA">
      <w:pPr>
        <w:jc w:val="center"/>
        <w:rPr>
          <w:b/>
          <w:sz w:val="24"/>
          <w:szCs w:val="24"/>
          <w:highlight w:val="yellow"/>
          <w:lang w:val="ro-MD"/>
        </w:rPr>
      </w:pPr>
    </w:p>
    <w:p w14:paraId="37286526" w14:textId="3DE02ADE" w:rsidR="00787016" w:rsidRPr="00312485" w:rsidRDefault="00362440" w:rsidP="0007637A">
      <w:pPr>
        <w:keepNext/>
        <w:keepLines/>
        <w:tabs>
          <w:tab w:val="left" w:pos="397"/>
        </w:tabs>
        <w:ind w:firstLine="567"/>
        <w:outlineLvl w:val="1"/>
        <w:rPr>
          <w:b/>
          <w:sz w:val="24"/>
          <w:szCs w:val="24"/>
          <w:lang w:val="ro-MD"/>
        </w:rPr>
      </w:pPr>
      <w:r w:rsidRPr="00312485">
        <w:rPr>
          <w:b/>
          <w:sz w:val="24"/>
          <w:szCs w:val="24"/>
          <w:lang w:val="ro-MD"/>
        </w:rPr>
        <w:t>D</w:t>
      </w:r>
      <w:r w:rsidR="00C05D01" w:rsidRPr="00312485">
        <w:rPr>
          <w:b/>
          <w:sz w:val="24"/>
          <w:szCs w:val="24"/>
          <w:lang w:val="ro-MD"/>
        </w:rPr>
        <w:t>. Proiecte de investiții capitale publice</w:t>
      </w:r>
    </w:p>
    <w:p w14:paraId="7882257C" w14:textId="37834244" w:rsidR="00787016" w:rsidRPr="00312485" w:rsidRDefault="00787016" w:rsidP="00266FF7">
      <w:pPr>
        <w:autoSpaceDE w:val="0"/>
        <w:autoSpaceDN w:val="0"/>
        <w:adjustRightInd w:val="0"/>
        <w:ind w:firstLine="0"/>
        <w:rPr>
          <w:sz w:val="24"/>
          <w:szCs w:val="24"/>
          <w:lang w:val="ro-MD" w:eastAsia="ru-RU"/>
        </w:rPr>
      </w:pPr>
    </w:p>
    <w:p w14:paraId="62C3C3F7" w14:textId="77777777" w:rsidR="00C05D01" w:rsidRPr="00312485" w:rsidRDefault="00C05D01" w:rsidP="0007637A">
      <w:pPr>
        <w:ind w:firstLine="567"/>
        <w:rPr>
          <w:sz w:val="24"/>
          <w:szCs w:val="24"/>
          <w:lang w:val="ro-MD"/>
        </w:rPr>
      </w:pPr>
      <w:r w:rsidRPr="00312485">
        <w:rPr>
          <w:sz w:val="24"/>
          <w:szCs w:val="24"/>
          <w:lang w:val="ro-MD"/>
        </w:rPr>
        <w:t>Sistemul de gestionare a cheltuielilor pentru investițiile capitale publice include procesele de identificare, examinare, evaluare și selectare a proiectelor noi, care se realizează în conformitate cu modul prevăzut în Regulamentul cu privire la proiectele de investiții capitale publice, aprobat prin Hotărârea Guvernului nr.684/2022. E de remarcat că, procesul de depunere și evaluare a propunerilor de proiecte noi de investiții capitale publice se efectuează în Sistemul Informațional „Registrul proiectelor de investiții capitale” (SI RPIC).</w:t>
      </w:r>
    </w:p>
    <w:p w14:paraId="0B41C369" w14:textId="77777777" w:rsidR="00C05D01" w:rsidRPr="00312485" w:rsidRDefault="00C05D01" w:rsidP="00C05D01">
      <w:pPr>
        <w:ind w:firstLine="426"/>
        <w:rPr>
          <w:sz w:val="24"/>
          <w:szCs w:val="24"/>
          <w:lang w:val="ro-MD"/>
        </w:rPr>
      </w:pPr>
      <w:r w:rsidRPr="00312485">
        <w:rPr>
          <w:sz w:val="24"/>
          <w:szCs w:val="24"/>
          <w:lang w:val="ro-MD"/>
        </w:rPr>
        <w:t>Acțiunile pentru perioada viitoare se vor axa pe consolidarea managementului investițiilor publice prin:</w:t>
      </w:r>
    </w:p>
    <w:p w14:paraId="74F23D1A" w14:textId="437FD5BC" w:rsidR="00C05D01" w:rsidRPr="00312485" w:rsidRDefault="00C05D01" w:rsidP="00A355AA">
      <w:pPr>
        <w:pStyle w:val="Listparagraf"/>
        <w:numPr>
          <w:ilvl w:val="0"/>
          <w:numId w:val="14"/>
        </w:numPr>
        <w:ind w:left="0" w:firstLine="426"/>
        <w:rPr>
          <w:sz w:val="24"/>
          <w:szCs w:val="24"/>
          <w:lang w:val="ro-MD"/>
        </w:rPr>
      </w:pPr>
      <w:r w:rsidRPr="00312485">
        <w:rPr>
          <w:sz w:val="24"/>
          <w:szCs w:val="24"/>
          <w:lang w:val="ro-MD"/>
        </w:rPr>
        <w:t xml:space="preserve">instituirea în </w:t>
      </w:r>
      <w:r w:rsidR="005A57F8">
        <w:rPr>
          <w:sz w:val="24"/>
          <w:szCs w:val="24"/>
          <w:lang w:val="ro-MD"/>
        </w:rPr>
        <w:t>majoritatea ministerelor</w:t>
      </w:r>
      <w:r w:rsidRPr="00312485">
        <w:rPr>
          <w:sz w:val="24"/>
          <w:szCs w:val="24"/>
          <w:lang w:val="ro-MD"/>
        </w:rPr>
        <w:t xml:space="preserve"> a subdiviziunilor desinate managementului investițiilor capitale publice;</w:t>
      </w:r>
    </w:p>
    <w:p w14:paraId="0C1F03DD" w14:textId="77777777" w:rsidR="00C05D01" w:rsidRPr="00312485" w:rsidRDefault="00C05D01" w:rsidP="00A355AA">
      <w:pPr>
        <w:pStyle w:val="Listparagraf"/>
        <w:numPr>
          <w:ilvl w:val="0"/>
          <w:numId w:val="14"/>
        </w:numPr>
        <w:ind w:left="0" w:firstLine="426"/>
        <w:rPr>
          <w:sz w:val="24"/>
          <w:szCs w:val="24"/>
          <w:lang w:val="ro-MD"/>
        </w:rPr>
      </w:pPr>
      <w:r w:rsidRPr="00312485">
        <w:rPr>
          <w:sz w:val="24"/>
          <w:szCs w:val="24"/>
          <w:lang w:val="ro-MD"/>
        </w:rPr>
        <w:t>stabilirea unor priorități bine determinate în procesul de planificare bugetară multianuală și îmbunătățirea calității propunerilor de proiecte noi;</w:t>
      </w:r>
    </w:p>
    <w:p w14:paraId="1CE3DAAD" w14:textId="77777777" w:rsidR="00C05D01" w:rsidRPr="00312485" w:rsidRDefault="00C05D01" w:rsidP="00A355AA">
      <w:pPr>
        <w:pStyle w:val="Listparagraf"/>
        <w:numPr>
          <w:ilvl w:val="0"/>
          <w:numId w:val="14"/>
        </w:numPr>
        <w:ind w:left="0" w:firstLine="426"/>
        <w:rPr>
          <w:sz w:val="24"/>
          <w:szCs w:val="24"/>
          <w:lang w:val="ro-MD"/>
        </w:rPr>
      </w:pPr>
      <w:r w:rsidRPr="00312485">
        <w:rPr>
          <w:sz w:val="24"/>
          <w:szCs w:val="24"/>
          <w:lang w:val="ro-MD"/>
        </w:rPr>
        <w:lastRenderedPageBreak/>
        <w:t>includerea în cadrul de planificare bugetară anuală și multianuală doar a proiectelor eligibile, ceea ce va consolida responsabilitatea și alocarea strategică a resurselor;</w:t>
      </w:r>
    </w:p>
    <w:p w14:paraId="6C48EAD3" w14:textId="77777777" w:rsidR="00C05D01" w:rsidRPr="00312485" w:rsidRDefault="00C05D01" w:rsidP="00A355AA">
      <w:pPr>
        <w:pStyle w:val="Listparagraf"/>
        <w:numPr>
          <w:ilvl w:val="0"/>
          <w:numId w:val="14"/>
        </w:numPr>
        <w:ind w:left="0" w:firstLine="426"/>
        <w:rPr>
          <w:sz w:val="24"/>
          <w:szCs w:val="24"/>
          <w:lang w:val="ro-MD"/>
        </w:rPr>
      </w:pPr>
      <w:r w:rsidRPr="00312485">
        <w:rPr>
          <w:sz w:val="24"/>
          <w:szCs w:val="24"/>
          <w:lang w:val="ro-MD"/>
        </w:rPr>
        <w:t xml:space="preserve">monitorizarea periodică a procesului de implementare a proiectelor prin intermediul unui sistem IT; </w:t>
      </w:r>
    </w:p>
    <w:p w14:paraId="0527395E" w14:textId="6610BE27" w:rsidR="00C05D01" w:rsidRPr="00312485" w:rsidRDefault="00C05D01" w:rsidP="00A355AA">
      <w:pPr>
        <w:pStyle w:val="Listparagraf"/>
        <w:numPr>
          <w:ilvl w:val="0"/>
          <w:numId w:val="14"/>
        </w:numPr>
        <w:ind w:left="0" w:firstLine="426"/>
        <w:rPr>
          <w:sz w:val="24"/>
          <w:szCs w:val="24"/>
          <w:lang w:val="ro-MD"/>
        </w:rPr>
      </w:pPr>
      <w:r w:rsidRPr="00312485">
        <w:rPr>
          <w:sz w:val="24"/>
          <w:szCs w:val="24"/>
          <w:lang w:val="ro-MD"/>
        </w:rPr>
        <w:t xml:space="preserve">consolidarea capacităților proprii ale statului în implementarea proiectelor mari de infrastructură prin implementarea acestora de către Instituția Publică Oficiul Național pentru Dezvoltarea Infrastructurii „Moldova – Proiect”. </w:t>
      </w:r>
    </w:p>
    <w:p w14:paraId="4CD08165" w14:textId="77777777" w:rsidR="00C05D01" w:rsidRPr="00312485" w:rsidRDefault="00C05D01" w:rsidP="00C05D01">
      <w:pPr>
        <w:ind w:firstLine="426"/>
        <w:rPr>
          <w:sz w:val="24"/>
          <w:szCs w:val="24"/>
          <w:lang w:val="ro-MD"/>
        </w:rPr>
      </w:pPr>
      <w:r w:rsidRPr="00312485">
        <w:rPr>
          <w:sz w:val="24"/>
          <w:szCs w:val="24"/>
          <w:lang w:val="ro-MD"/>
        </w:rPr>
        <w:t xml:space="preserve">În perioada următoare </w:t>
      </w:r>
      <w:r w:rsidRPr="00297BA0">
        <w:rPr>
          <w:i/>
          <w:sz w:val="24"/>
          <w:szCs w:val="24"/>
          <w:lang w:val="ro-MD"/>
        </w:rPr>
        <w:t>se va pune accent pe proiecte de investiții capitale publice</w:t>
      </w:r>
      <w:r w:rsidRPr="00312485">
        <w:rPr>
          <w:sz w:val="24"/>
          <w:szCs w:val="24"/>
          <w:lang w:val="ro-MD"/>
        </w:rPr>
        <w:t xml:space="preserve"> din:</w:t>
      </w:r>
    </w:p>
    <w:p w14:paraId="7600ED02" w14:textId="77777777" w:rsidR="00C05D01" w:rsidRPr="00312485" w:rsidRDefault="00C05D01" w:rsidP="00C05D01">
      <w:pPr>
        <w:ind w:firstLine="426"/>
        <w:rPr>
          <w:sz w:val="24"/>
          <w:szCs w:val="24"/>
          <w:lang w:val="ro-MD"/>
        </w:rPr>
      </w:pPr>
      <w:r w:rsidRPr="00312485">
        <w:rPr>
          <w:sz w:val="24"/>
          <w:szCs w:val="24"/>
          <w:lang w:val="ro-MD"/>
        </w:rPr>
        <w:t xml:space="preserve">1) </w:t>
      </w:r>
      <w:r w:rsidRPr="00297BA0">
        <w:rPr>
          <w:i/>
          <w:sz w:val="24"/>
          <w:szCs w:val="24"/>
          <w:lang w:val="ro-MD"/>
        </w:rPr>
        <w:t>domeniul gospodăriei drumurilor</w:t>
      </w:r>
      <w:r w:rsidRPr="00312485">
        <w:rPr>
          <w:sz w:val="24"/>
          <w:szCs w:val="24"/>
          <w:lang w:val="ro-MD"/>
        </w:rPr>
        <w:t>:</w:t>
      </w:r>
    </w:p>
    <w:p w14:paraId="1C916675" w14:textId="77777777" w:rsidR="00C05D01" w:rsidRPr="00312485" w:rsidRDefault="00C05D01" w:rsidP="00C05D01">
      <w:pPr>
        <w:ind w:firstLine="426"/>
        <w:rPr>
          <w:sz w:val="24"/>
          <w:szCs w:val="24"/>
          <w:lang w:val="ro-MD"/>
        </w:rPr>
      </w:pPr>
      <w:r w:rsidRPr="00312485">
        <w:rPr>
          <w:sz w:val="24"/>
          <w:szCs w:val="24"/>
          <w:lang w:val="ro-MD"/>
        </w:rPr>
        <w:t>- Proiectul „Susținerea Programului în sectorul drumurilor”;</w:t>
      </w:r>
    </w:p>
    <w:p w14:paraId="11144C61" w14:textId="77777777" w:rsidR="00C05D01" w:rsidRPr="00312485" w:rsidRDefault="00C05D01" w:rsidP="00C05D01">
      <w:pPr>
        <w:ind w:firstLine="426"/>
        <w:rPr>
          <w:sz w:val="24"/>
          <w:szCs w:val="24"/>
          <w:lang w:val="ro-MD"/>
        </w:rPr>
      </w:pPr>
      <w:r w:rsidRPr="00312485">
        <w:rPr>
          <w:sz w:val="24"/>
          <w:szCs w:val="24"/>
          <w:lang w:val="ro-MD"/>
        </w:rPr>
        <w:t>- Proiectul „Moldova drumuri III”;</w:t>
      </w:r>
    </w:p>
    <w:p w14:paraId="52C2EFB7" w14:textId="77777777" w:rsidR="00C05D01" w:rsidRPr="00312485" w:rsidRDefault="00C05D01" w:rsidP="00C05D01">
      <w:pPr>
        <w:ind w:firstLine="426"/>
        <w:rPr>
          <w:sz w:val="24"/>
          <w:szCs w:val="24"/>
          <w:lang w:val="ro-MD"/>
        </w:rPr>
      </w:pPr>
      <w:r w:rsidRPr="00312485">
        <w:rPr>
          <w:sz w:val="24"/>
          <w:szCs w:val="24"/>
          <w:lang w:val="ro-MD"/>
        </w:rPr>
        <w:t>- Proiectul „Moldova drumuri IV”;</w:t>
      </w:r>
    </w:p>
    <w:p w14:paraId="1B732E74" w14:textId="77777777" w:rsidR="00C05D01" w:rsidRPr="00312485" w:rsidRDefault="00C05D01" w:rsidP="00C05D01">
      <w:pPr>
        <w:ind w:firstLine="426"/>
        <w:rPr>
          <w:sz w:val="24"/>
          <w:szCs w:val="24"/>
          <w:lang w:val="ro-MD"/>
        </w:rPr>
      </w:pPr>
      <w:r w:rsidRPr="00312485">
        <w:rPr>
          <w:sz w:val="24"/>
          <w:szCs w:val="24"/>
          <w:lang w:val="ro-MD"/>
        </w:rPr>
        <w:t>- Proiectul „Moldova drumuri V”;</w:t>
      </w:r>
    </w:p>
    <w:p w14:paraId="2CC9CBFE" w14:textId="77777777" w:rsidR="00C05D01" w:rsidRPr="00312485" w:rsidRDefault="00C05D01" w:rsidP="00C05D01">
      <w:pPr>
        <w:ind w:firstLine="426"/>
        <w:rPr>
          <w:sz w:val="24"/>
          <w:szCs w:val="24"/>
          <w:lang w:val="ro-MD"/>
        </w:rPr>
      </w:pPr>
      <w:r w:rsidRPr="00312485">
        <w:rPr>
          <w:sz w:val="24"/>
          <w:szCs w:val="24"/>
          <w:lang w:val="ro-MD"/>
        </w:rPr>
        <w:t xml:space="preserve">2) </w:t>
      </w:r>
      <w:r w:rsidRPr="00297BA0">
        <w:rPr>
          <w:i/>
          <w:sz w:val="24"/>
          <w:szCs w:val="24"/>
          <w:lang w:val="ro-MD"/>
        </w:rPr>
        <w:t>domeniul aprovizionării cu apă și canalizare</w:t>
      </w:r>
      <w:r w:rsidRPr="00312485">
        <w:rPr>
          <w:sz w:val="24"/>
          <w:szCs w:val="24"/>
          <w:lang w:val="ro-MD"/>
        </w:rPr>
        <w:t>:</w:t>
      </w:r>
    </w:p>
    <w:p w14:paraId="54A39D6C" w14:textId="77777777" w:rsidR="00C05D01" w:rsidRPr="00312485" w:rsidRDefault="00C05D01" w:rsidP="00C05D01">
      <w:pPr>
        <w:ind w:firstLine="426"/>
        <w:rPr>
          <w:sz w:val="24"/>
          <w:szCs w:val="24"/>
          <w:lang w:val="ro-MD"/>
        </w:rPr>
      </w:pPr>
      <w:r w:rsidRPr="00312485">
        <w:rPr>
          <w:sz w:val="24"/>
          <w:szCs w:val="24"/>
          <w:lang w:val="ro-MD"/>
        </w:rPr>
        <w:t>- Proiectul „Îmbunătățirea infrastructurii de apă în Moldova Centrală”;</w:t>
      </w:r>
    </w:p>
    <w:p w14:paraId="23DB2362" w14:textId="29BA4EAB" w:rsidR="00C05D01" w:rsidRPr="00312485" w:rsidRDefault="00C05D01" w:rsidP="00C05D01">
      <w:pPr>
        <w:ind w:firstLine="426"/>
        <w:rPr>
          <w:sz w:val="24"/>
          <w:szCs w:val="24"/>
          <w:lang w:val="ro-MD"/>
        </w:rPr>
      </w:pPr>
      <w:r w:rsidRPr="00312485">
        <w:rPr>
          <w:sz w:val="24"/>
          <w:szCs w:val="24"/>
          <w:lang w:val="ro-MD"/>
        </w:rPr>
        <w:t xml:space="preserve">- Proiectul </w:t>
      </w:r>
      <w:r w:rsidR="00C47A8F">
        <w:rPr>
          <w:sz w:val="24"/>
          <w:szCs w:val="24"/>
          <w:lang w:val="ro-MD"/>
        </w:rPr>
        <w:t>„</w:t>
      </w:r>
      <w:r w:rsidRPr="00312485">
        <w:rPr>
          <w:sz w:val="24"/>
          <w:szCs w:val="24"/>
          <w:lang w:val="ro-MD"/>
        </w:rPr>
        <w:t>Securitatea aprovizionării cu apă și canalizare în Moldova</w:t>
      </w:r>
      <w:r w:rsidR="00C47A8F">
        <w:rPr>
          <w:sz w:val="24"/>
          <w:szCs w:val="24"/>
          <w:lang w:val="ro-MD"/>
        </w:rPr>
        <w:t>”</w:t>
      </w:r>
      <w:r w:rsidRPr="00312485">
        <w:rPr>
          <w:sz w:val="24"/>
          <w:szCs w:val="24"/>
          <w:lang w:val="ro-MD"/>
        </w:rPr>
        <w:t>;</w:t>
      </w:r>
    </w:p>
    <w:p w14:paraId="28E936B4" w14:textId="77777777" w:rsidR="00C05D01" w:rsidRPr="00312485" w:rsidRDefault="00C05D01" w:rsidP="00C05D01">
      <w:pPr>
        <w:ind w:firstLine="426"/>
        <w:rPr>
          <w:sz w:val="24"/>
          <w:szCs w:val="24"/>
          <w:lang w:val="ro-MD"/>
        </w:rPr>
      </w:pPr>
      <w:r w:rsidRPr="00312485">
        <w:rPr>
          <w:sz w:val="24"/>
          <w:szCs w:val="24"/>
          <w:lang w:val="ro-MD"/>
        </w:rPr>
        <w:t xml:space="preserve">3) </w:t>
      </w:r>
      <w:r w:rsidRPr="00297BA0">
        <w:rPr>
          <w:i/>
          <w:sz w:val="24"/>
          <w:szCs w:val="24"/>
          <w:lang w:val="ro-MD"/>
        </w:rPr>
        <w:t>domeniul ocrotirii sănătății</w:t>
      </w:r>
      <w:r w:rsidRPr="00312485">
        <w:rPr>
          <w:sz w:val="24"/>
          <w:szCs w:val="24"/>
          <w:lang w:val="ro-MD"/>
        </w:rPr>
        <w:t>:</w:t>
      </w:r>
    </w:p>
    <w:p w14:paraId="15E4518A" w14:textId="77777777" w:rsidR="00C05D01" w:rsidRPr="00312485" w:rsidRDefault="00C05D01" w:rsidP="00C05D01">
      <w:pPr>
        <w:ind w:firstLine="426"/>
        <w:rPr>
          <w:sz w:val="24"/>
          <w:szCs w:val="24"/>
          <w:lang w:val="ro-MD"/>
        </w:rPr>
      </w:pPr>
      <w:r w:rsidRPr="00312485">
        <w:rPr>
          <w:sz w:val="24"/>
          <w:szCs w:val="24"/>
          <w:lang w:val="ro-MD"/>
        </w:rPr>
        <w:t>- Proiectul „Construcția Spitalului regional Bălți”;</w:t>
      </w:r>
    </w:p>
    <w:p w14:paraId="7318CCCF" w14:textId="77777777" w:rsidR="00C05D01" w:rsidRPr="00312485" w:rsidRDefault="00C05D01" w:rsidP="00C05D01">
      <w:pPr>
        <w:ind w:firstLine="426"/>
        <w:rPr>
          <w:sz w:val="24"/>
          <w:szCs w:val="24"/>
          <w:lang w:val="ro-MD"/>
        </w:rPr>
      </w:pPr>
      <w:r w:rsidRPr="00312485">
        <w:rPr>
          <w:sz w:val="24"/>
          <w:szCs w:val="24"/>
          <w:lang w:val="ro-MD"/>
        </w:rPr>
        <w:t>- Construcția anexei la blocul nr.1 al Institutului de Neurologie</w:t>
      </w:r>
    </w:p>
    <w:p w14:paraId="19760B73" w14:textId="77777777" w:rsidR="00C05D01" w:rsidRPr="00312485" w:rsidRDefault="00C05D01" w:rsidP="00C05D01">
      <w:pPr>
        <w:ind w:firstLine="426"/>
        <w:rPr>
          <w:sz w:val="24"/>
          <w:szCs w:val="24"/>
          <w:lang w:val="ro-MD"/>
        </w:rPr>
      </w:pPr>
      <w:r w:rsidRPr="00312485">
        <w:rPr>
          <w:sz w:val="24"/>
          <w:szCs w:val="24"/>
          <w:lang w:val="ro-MD"/>
        </w:rPr>
        <w:t xml:space="preserve"> și Neurochirurgie „</w:t>
      </w:r>
      <w:proofErr w:type="spellStart"/>
      <w:r w:rsidRPr="00312485">
        <w:rPr>
          <w:sz w:val="24"/>
          <w:szCs w:val="24"/>
          <w:lang w:val="ro-MD"/>
        </w:rPr>
        <w:t>Diomid</w:t>
      </w:r>
      <w:proofErr w:type="spellEnd"/>
      <w:r w:rsidRPr="00312485">
        <w:rPr>
          <w:sz w:val="24"/>
          <w:szCs w:val="24"/>
          <w:lang w:val="ro-MD"/>
        </w:rPr>
        <w:t xml:space="preserve"> Gherman”;</w:t>
      </w:r>
    </w:p>
    <w:p w14:paraId="60A20421" w14:textId="77777777" w:rsidR="00C05D01" w:rsidRPr="00312485" w:rsidRDefault="00C05D01" w:rsidP="00C05D01">
      <w:pPr>
        <w:ind w:firstLine="426"/>
        <w:rPr>
          <w:sz w:val="24"/>
          <w:szCs w:val="24"/>
          <w:lang w:val="ro-MD"/>
        </w:rPr>
      </w:pPr>
      <w:r w:rsidRPr="00312485">
        <w:rPr>
          <w:sz w:val="24"/>
          <w:szCs w:val="24"/>
          <w:lang w:val="ro-MD"/>
        </w:rPr>
        <w:t xml:space="preserve">4) </w:t>
      </w:r>
      <w:r w:rsidRPr="00297BA0">
        <w:rPr>
          <w:i/>
          <w:sz w:val="24"/>
          <w:szCs w:val="24"/>
          <w:lang w:val="ro-MD"/>
        </w:rPr>
        <w:t>domeniul învățământului</w:t>
      </w:r>
      <w:r w:rsidRPr="00312485">
        <w:rPr>
          <w:sz w:val="24"/>
          <w:szCs w:val="24"/>
          <w:lang w:val="ro-MD"/>
        </w:rPr>
        <w:t>:</w:t>
      </w:r>
    </w:p>
    <w:p w14:paraId="11AE62FC" w14:textId="20E1D81A" w:rsidR="00C05D01" w:rsidRPr="00312485" w:rsidRDefault="00C05D01" w:rsidP="00C05D01">
      <w:pPr>
        <w:ind w:firstLine="426"/>
        <w:rPr>
          <w:sz w:val="24"/>
          <w:szCs w:val="24"/>
          <w:lang w:val="ro-MD"/>
        </w:rPr>
      </w:pPr>
      <w:r w:rsidRPr="00312485">
        <w:rPr>
          <w:sz w:val="24"/>
          <w:szCs w:val="24"/>
          <w:lang w:val="ro-MD"/>
        </w:rPr>
        <w:t>- reconstrucția căminului studențesc nr.3 al Universității de Stat</w:t>
      </w:r>
      <w:r w:rsidR="00E70CBD" w:rsidRPr="00312485">
        <w:rPr>
          <w:sz w:val="24"/>
          <w:szCs w:val="24"/>
          <w:lang w:val="ro-MD"/>
        </w:rPr>
        <w:t xml:space="preserve"> </w:t>
      </w:r>
      <w:r w:rsidRPr="00312485">
        <w:rPr>
          <w:sz w:val="24"/>
          <w:szCs w:val="24"/>
          <w:lang w:val="ro-MD"/>
        </w:rPr>
        <w:t xml:space="preserve">„Bogdan Petriceicu </w:t>
      </w:r>
      <w:proofErr w:type="spellStart"/>
      <w:r w:rsidRPr="00312485">
        <w:rPr>
          <w:sz w:val="24"/>
          <w:szCs w:val="24"/>
          <w:lang w:val="ro-MD"/>
        </w:rPr>
        <w:t>Hasdeu</w:t>
      </w:r>
      <w:proofErr w:type="spellEnd"/>
      <w:r w:rsidRPr="00312485">
        <w:rPr>
          <w:sz w:val="24"/>
          <w:szCs w:val="24"/>
          <w:lang w:val="ro-MD"/>
        </w:rPr>
        <w:t>” din mun. Cahul”.</w:t>
      </w:r>
    </w:p>
    <w:p w14:paraId="6A182613" w14:textId="77777777" w:rsidR="00C05D01" w:rsidRPr="00312485" w:rsidRDefault="00C05D01" w:rsidP="00C05D01">
      <w:pPr>
        <w:ind w:firstLine="426"/>
        <w:rPr>
          <w:sz w:val="24"/>
          <w:szCs w:val="24"/>
          <w:lang w:val="ro-MD"/>
        </w:rPr>
      </w:pPr>
      <w:r w:rsidRPr="00312485">
        <w:rPr>
          <w:sz w:val="24"/>
          <w:szCs w:val="24"/>
          <w:lang w:val="ro-MD"/>
        </w:rPr>
        <w:t xml:space="preserve">5) </w:t>
      </w:r>
      <w:r w:rsidRPr="00297BA0">
        <w:rPr>
          <w:i/>
          <w:sz w:val="24"/>
          <w:szCs w:val="24"/>
          <w:lang w:val="ro-MD"/>
        </w:rPr>
        <w:t>domeniul servicii generale de stat</w:t>
      </w:r>
      <w:r w:rsidRPr="00312485">
        <w:rPr>
          <w:sz w:val="24"/>
          <w:szCs w:val="24"/>
          <w:lang w:val="ro-MD"/>
        </w:rPr>
        <w:t>:</w:t>
      </w:r>
    </w:p>
    <w:p w14:paraId="3B79A083" w14:textId="77777777" w:rsidR="00C05D01" w:rsidRPr="00312485" w:rsidRDefault="00C05D01" w:rsidP="00C05D01">
      <w:pPr>
        <w:ind w:firstLine="426"/>
        <w:rPr>
          <w:sz w:val="24"/>
          <w:szCs w:val="24"/>
          <w:lang w:val="ro-MD"/>
        </w:rPr>
      </w:pPr>
      <w:r w:rsidRPr="00312485">
        <w:rPr>
          <w:sz w:val="24"/>
          <w:szCs w:val="24"/>
          <w:lang w:val="ro-MD"/>
        </w:rPr>
        <w:t>- reconstrucția sediului Serviciului Fiscal de Stat;</w:t>
      </w:r>
    </w:p>
    <w:p w14:paraId="440F93DC" w14:textId="77777777" w:rsidR="00C05D01" w:rsidRPr="00312485" w:rsidRDefault="00C05D01" w:rsidP="00C05D01">
      <w:pPr>
        <w:ind w:firstLine="426"/>
        <w:rPr>
          <w:sz w:val="24"/>
          <w:szCs w:val="24"/>
          <w:lang w:val="ro-MD"/>
        </w:rPr>
      </w:pPr>
      <w:r w:rsidRPr="00312485">
        <w:rPr>
          <w:sz w:val="24"/>
          <w:szCs w:val="24"/>
          <w:lang w:val="ro-MD"/>
        </w:rPr>
        <w:t>- restaurarea sediului Oficiului Avocatului Poporului;</w:t>
      </w:r>
    </w:p>
    <w:p w14:paraId="24A849B2" w14:textId="77777777" w:rsidR="00C05D01" w:rsidRPr="00312485" w:rsidRDefault="00C05D01" w:rsidP="00C05D01">
      <w:pPr>
        <w:ind w:firstLine="426"/>
        <w:rPr>
          <w:sz w:val="24"/>
          <w:szCs w:val="24"/>
          <w:lang w:val="ro-MD"/>
        </w:rPr>
      </w:pPr>
      <w:r w:rsidRPr="00312485">
        <w:rPr>
          <w:sz w:val="24"/>
          <w:szCs w:val="24"/>
          <w:lang w:val="ro-MD"/>
        </w:rPr>
        <w:t xml:space="preserve">6) </w:t>
      </w:r>
      <w:r w:rsidRPr="00297BA0">
        <w:rPr>
          <w:i/>
          <w:sz w:val="24"/>
          <w:szCs w:val="24"/>
          <w:lang w:val="ro-MD"/>
        </w:rPr>
        <w:t>domeniul apărării</w:t>
      </w:r>
      <w:r w:rsidRPr="00312485">
        <w:rPr>
          <w:sz w:val="24"/>
          <w:szCs w:val="24"/>
          <w:lang w:val="ro-MD"/>
        </w:rPr>
        <w:t>:</w:t>
      </w:r>
    </w:p>
    <w:p w14:paraId="67200548" w14:textId="77777777" w:rsidR="00C05D01" w:rsidRPr="00312485" w:rsidRDefault="00C05D01" w:rsidP="00C05D01">
      <w:pPr>
        <w:ind w:firstLine="426"/>
        <w:rPr>
          <w:sz w:val="24"/>
          <w:szCs w:val="24"/>
          <w:lang w:val="ro-MD"/>
        </w:rPr>
      </w:pPr>
      <w:r w:rsidRPr="00312485">
        <w:rPr>
          <w:sz w:val="24"/>
          <w:szCs w:val="24"/>
          <w:lang w:val="ro-MD"/>
        </w:rPr>
        <w:t>- construcția Taberei militare permanente nr.136 în comuna Băcioi, municipiul Chișinău;</w:t>
      </w:r>
    </w:p>
    <w:p w14:paraId="52779045" w14:textId="77777777" w:rsidR="00C05D01" w:rsidRPr="00312485" w:rsidRDefault="00C05D01" w:rsidP="00C05D01">
      <w:pPr>
        <w:ind w:firstLine="426"/>
        <w:rPr>
          <w:sz w:val="24"/>
          <w:szCs w:val="24"/>
          <w:lang w:val="ro-MD"/>
        </w:rPr>
      </w:pPr>
      <w:r w:rsidRPr="00312485">
        <w:rPr>
          <w:sz w:val="24"/>
          <w:szCs w:val="24"/>
          <w:lang w:val="ro-MD"/>
        </w:rPr>
        <w:t xml:space="preserve">7) </w:t>
      </w:r>
      <w:r w:rsidRPr="00297BA0">
        <w:rPr>
          <w:i/>
          <w:sz w:val="24"/>
          <w:szCs w:val="24"/>
          <w:lang w:val="ro-MD"/>
        </w:rPr>
        <w:t>domeniul sistemului penitenciar</w:t>
      </w:r>
      <w:r w:rsidRPr="00312485">
        <w:rPr>
          <w:sz w:val="24"/>
          <w:szCs w:val="24"/>
          <w:lang w:val="ro-MD"/>
        </w:rPr>
        <w:t>:</w:t>
      </w:r>
    </w:p>
    <w:p w14:paraId="4FE67D3C" w14:textId="77777777" w:rsidR="00C05D01" w:rsidRPr="00312485" w:rsidRDefault="00C05D01" w:rsidP="00C05D01">
      <w:pPr>
        <w:ind w:firstLine="426"/>
        <w:rPr>
          <w:sz w:val="24"/>
          <w:szCs w:val="24"/>
          <w:lang w:val="ro-MD"/>
        </w:rPr>
      </w:pPr>
      <w:r w:rsidRPr="00312485">
        <w:rPr>
          <w:sz w:val="24"/>
          <w:szCs w:val="24"/>
          <w:lang w:val="ro-MD"/>
        </w:rPr>
        <w:t>- Proiectul „Construcția penitenciarului din municipiul Chișinău”;</w:t>
      </w:r>
    </w:p>
    <w:p w14:paraId="585F3C4A" w14:textId="37CE1FE5" w:rsidR="00C05D01" w:rsidRPr="00312485" w:rsidRDefault="00C05D01" w:rsidP="00C05D01">
      <w:pPr>
        <w:ind w:firstLine="426"/>
        <w:rPr>
          <w:sz w:val="24"/>
          <w:szCs w:val="24"/>
          <w:lang w:val="ro-MD"/>
        </w:rPr>
      </w:pPr>
      <w:r w:rsidRPr="00312485">
        <w:rPr>
          <w:sz w:val="24"/>
          <w:szCs w:val="24"/>
          <w:lang w:val="ro-MD"/>
        </w:rPr>
        <w:t xml:space="preserve">- construcția </w:t>
      </w:r>
      <w:r w:rsidR="00314EEA">
        <w:rPr>
          <w:sz w:val="24"/>
          <w:szCs w:val="24"/>
          <w:lang w:val="ro-MD"/>
        </w:rPr>
        <w:t>C</w:t>
      </w:r>
      <w:r w:rsidRPr="00312485">
        <w:rPr>
          <w:sz w:val="24"/>
          <w:szCs w:val="24"/>
          <w:lang w:val="ro-MD"/>
        </w:rPr>
        <w:t xml:space="preserve">asei de arest din municipiul Bălți; </w:t>
      </w:r>
    </w:p>
    <w:p w14:paraId="5898C663" w14:textId="2BBDDA6B" w:rsidR="00C05D01" w:rsidRPr="00312485" w:rsidRDefault="00C05D01" w:rsidP="00C05D01">
      <w:pPr>
        <w:ind w:firstLine="426"/>
        <w:rPr>
          <w:sz w:val="24"/>
          <w:szCs w:val="24"/>
          <w:lang w:val="ro-MD"/>
        </w:rPr>
      </w:pPr>
      <w:r w:rsidRPr="00312485">
        <w:rPr>
          <w:sz w:val="24"/>
          <w:szCs w:val="24"/>
          <w:lang w:val="ro-MD"/>
        </w:rPr>
        <w:t>- reconstrucția Penitenciarului nr.5, mun</w:t>
      </w:r>
      <w:r w:rsidR="00E17D28">
        <w:rPr>
          <w:sz w:val="24"/>
          <w:szCs w:val="24"/>
          <w:lang w:val="ro-MD"/>
        </w:rPr>
        <w:t>icipiul</w:t>
      </w:r>
      <w:r w:rsidRPr="00312485">
        <w:rPr>
          <w:sz w:val="24"/>
          <w:szCs w:val="24"/>
          <w:lang w:val="ro-MD"/>
        </w:rPr>
        <w:t xml:space="preserve"> Cahul.</w:t>
      </w:r>
    </w:p>
    <w:p w14:paraId="77FFA631" w14:textId="77777777" w:rsidR="00C05D01" w:rsidRPr="00312485" w:rsidRDefault="00C05D01" w:rsidP="00C05D01">
      <w:pPr>
        <w:ind w:firstLine="426"/>
        <w:rPr>
          <w:sz w:val="24"/>
          <w:szCs w:val="24"/>
          <w:lang w:val="ro-MD"/>
        </w:rPr>
      </w:pPr>
    </w:p>
    <w:p w14:paraId="2597AB06" w14:textId="2B0D73CF" w:rsidR="00C05D01" w:rsidRPr="00312485" w:rsidRDefault="00C05D01" w:rsidP="005F1054">
      <w:pPr>
        <w:ind w:firstLine="567"/>
        <w:rPr>
          <w:sz w:val="24"/>
          <w:szCs w:val="24"/>
          <w:lang w:val="ro-MD"/>
        </w:rPr>
      </w:pPr>
      <w:r w:rsidRPr="00312485">
        <w:rPr>
          <w:sz w:val="24"/>
          <w:szCs w:val="24"/>
          <w:lang w:val="ro-MD"/>
        </w:rPr>
        <w:t xml:space="preserve">Aferent măsurilor incluse în Agenda de reforme aferente Planului de creștere al Republicii Moldova pentru anii 2025-2027 </w:t>
      </w:r>
      <w:r w:rsidRPr="006946D7">
        <w:rPr>
          <w:sz w:val="24"/>
          <w:szCs w:val="24"/>
          <w:lang w:val="ro-MD"/>
        </w:rPr>
        <w:t xml:space="preserve">(anexa </w:t>
      </w:r>
      <w:r w:rsidR="003125B6" w:rsidRPr="006946D7">
        <w:rPr>
          <w:sz w:val="24"/>
          <w:szCs w:val="24"/>
          <w:lang w:val="ro-MD"/>
        </w:rPr>
        <w:t>nr.25</w:t>
      </w:r>
      <w:r w:rsidRPr="006946D7">
        <w:rPr>
          <w:sz w:val="24"/>
          <w:szCs w:val="24"/>
          <w:lang w:val="ro-MD"/>
        </w:rPr>
        <w:t>),</w:t>
      </w:r>
      <w:r w:rsidRPr="00312485">
        <w:rPr>
          <w:sz w:val="24"/>
          <w:szCs w:val="24"/>
          <w:lang w:val="ro-MD"/>
        </w:rPr>
        <w:t xml:space="preserve"> </w:t>
      </w:r>
      <w:r w:rsidRPr="00921E07">
        <w:rPr>
          <w:i/>
          <w:sz w:val="24"/>
          <w:szCs w:val="24"/>
          <w:lang w:val="ro-MD"/>
        </w:rPr>
        <w:t>pentru implementarea proiectelor investiționale</w:t>
      </w:r>
      <w:r w:rsidRPr="00312485">
        <w:rPr>
          <w:sz w:val="24"/>
          <w:szCs w:val="24"/>
          <w:lang w:val="ro-MD"/>
        </w:rPr>
        <w:t xml:space="preserve"> din cadrul Mecanismului de Reformă și Creștere în bugetul de stat </w:t>
      </w:r>
      <w:r w:rsidRPr="00921E07">
        <w:rPr>
          <w:i/>
          <w:sz w:val="24"/>
          <w:szCs w:val="24"/>
          <w:lang w:val="ro-MD"/>
        </w:rPr>
        <w:t>se va forma o rezervă de mijloace financiare necesare acoperirii cheltuielilor pentru contribuția Guvernului la implementarea proiectelor eligibile</w:t>
      </w:r>
      <w:r w:rsidRPr="00312485">
        <w:rPr>
          <w:sz w:val="24"/>
          <w:szCs w:val="24"/>
          <w:lang w:val="ro-MD"/>
        </w:rPr>
        <w:t xml:space="preserve">. </w:t>
      </w:r>
    </w:p>
    <w:p w14:paraId="4688DD85" w14:textId="77777777" w:rsidR="00C05D01" w:rsidRPr="00312485" w:rsidRDefault="00C05D01" w:rsidP="005F1054">
      <w:pPr>
        <w:ind w:firstLine="567"/>
        <w:rPr>
          <w:sz w:val="24"/>
          <w:szCs w:val="24"/>
          <w:lang w:val="ro-MD"/>
        </w:rPr>
      </w:pPr>
      <w:r w:rsidRPr="00312485">
        <w:rPr>
          <w:sz w:val="24"/>
          <w:szCs w:val="24"/>
          <w:lang w:val="ro-MD"/>
        </w:rPr>
        <w:t>Pe măsura ce proiectele în cauză vor fi aprobate de către Consiliul în cadrul Platformei de Investiții pentru Vecinătate a Comisiei Europene (</w:t>
      </w:r>
      <w:proofErr w:type="spellStart"/>
      <w:r w:rsidRPr="00312485">
        <w:rPr>
          <w:sz w:val="24"/>
          <w:szCs w:val="24"/>
          <w:lang w:val="ro-MD"/>
        </w:rPr>
        <w:t>Neighbourhood</w:t>
      </w:r>
      <w:proofErr w:type="spellEnd"/>
      <w:r w:rsidRPr="00312485">
        <w:rPr>
          <w:sz w:val="24"/>
          <w:szCs w:val="24"/>
          <w:lang w:val="ro-MD"/>
        </w:rPr>
        <w:t xml:space="preserve"> Investment </w:t>
      </w:r>
      <w:proofErr w:type="spellStart"/>
      <w:r w:rsidRPr="00312485">
        <w:rPr>
          <w:sz w:val="24"/>
          <w:szCs w:val="24"/>
          <w:lang w:val="ro-MD"/>
        </w:rPr>
        <w:t>Platform</w:t>
      </w:r>
      <w:proofErr w:type="spellEnd"/>
      <w:r w:rsidRPr="00312485">
        <w:rPr>
          <w:sz w:val="24"/>
          <w:szCs w:val="24"/>
          <w:lang w:val="ro-MD"/>
        </w:rPr>
        <w:t xml:space="preserve"> EU - NIP), Guvernul va veni cu o contribuție la proiectele investiționale, care va fi asigurată din contul acestei rezerve. </w:t>
      </w:r>
    </w:p>
    <w:p w14:paraId="0BA71714" w14:textId="77777777" w:rsidR="00C05D01" w:rsidRPr="00312485" w:rsidRDefault="00C05D01" w:rsidP="005F1054">
      <w:pPr>
        <w:ind w:firstLine="567"/>
        <w:rPr>
          <w:sz w:val="24"/>
          <w:szCs w:val="24"/>
          <w:lang w:val="ro-MD"/>
        </w:rPr>
      </w:pPr>
      <w:r w:rsidRPr="00312485">
        <w:rPr>
          <w:sz w:val="24"/>
          <w:szCs w:val="24"/>
          <w:lang w:val="ro-MD"/>
        </w:rPr>
        <w:t>Astfel, urmare lansării mai multor proiecte investiționale cu sprijinul instituțiilor financiare internaționale și contribuției Guvernului la acestea asigurată din contul împrumutului acordat de către UE pentru Facilitarea de reformă și creștere pentru Republica Moldova, pe termen mediu și lung se preconizează o impulsionare a investițiilor publice, care se estimează să se dubleze ca pondere în PIB către anul 2028.</w:t>
      </w:r>
    </w:p>
    <w:p w14:paraId="76A2FA56" w14:textId="33674B66" w:rsidR="005E15AE" w:rsidRDefault="00C05D01" w:rsidP="008B3379">
      <w:pPr>
        <w:ind w:firstLine="567"/>
        <w:rPr>
          <w:b/>
          <w:color w:val="000000"/>
          <w:sz w:val="22"/>
          <w:szCs w:val="24"/>
          <w:lang w:val="ro-MD"/>
        </w:rPr>
      </w:pPr>
      <w:r w:rsidRPr="00312485">
        <w:rPr>
          <w:sz w:val="24"/>
          <w:szCs w:val="24"/>
          <w:lang w:val="ro-MD"/>
        </w:rPr>
        <w:t>Programul investițiilor capitale prin prisma surselor de finanțare și repartizarea pe grupe principale este prezentată în tabelul 4.</w:t>
      </w:r>
      <w:r w:rsidR="00362440" w:rsidRPr="00312485">
        <w:rPr>
          <w:sz w:val="24"/>
          <w:szCs w:val="24"/>
          <w:lang w:val="ro-MD"/>
        </w:rPr>
        <w:t>3</w:t>
      </w:r>
      <w:r w:rsidRPr="00312485">
        <w:rPr>
          <w:sz w:val="24"/>
          <w:szCs w:val="24"/>
          <w:lang w:val="ro-MD"/>
        </w:rPr>
        <w:t>.</w:t>
      </w:r>
    </w:p>
    <w:p w14:paraId="247B1C4C" w14:textId="77777777" w:rsidR="005E15AE" w:rsidRDefault="005E15AE" w:rsidP="00DB6CE9">
      <w:pPr>
        <w:autoSpaceDE w:val="0"/>
        <w:autoSpaceDN w:val="0"/>
        <w:adjustRightInd w:val="0"/>
        <w:ind w:firstLine="0"/>
        <w:jc w:val="right"/>
        <w:rPr>
          <w:b/>
          <w:color w:val="000000"/>
          <w:sz w:val="22"/>
          <w:szCs w:val="24"/>
          <w:lang w:val="ro-MD"/>
        </w:rPr>
      </w:pPr>
    </w:p>
    <w:p w14:paraId="764F0C6E" w14:textId="77777777" w:rsidR="00B23AA2" w:rsidRDefault="00B23AA2" w:rsidP="00DB6CE9">
      <w:pPr>
        <w:autoSpaceDE w:val="0"/>
        <w:autoSpaceDN w:val="0"/>
        <w:adjustRightInd w:val="0"/>
        <w:ind w:firstLine="0"/>
        <w:jc w:val="right"/>
        <w:rPr>
          <w:b/>
          <w:color w:val="000000"/>
          <w:sz w:val="22"/>
          <w:szCs w:val="24"/>
          <w:lang w:val="ro-MD"/>
        </w:rPr>
      </w:pPr>
    </w:p>
    <w:p w14:paraId="41920B36" w14:textId="034E84F3" w:rsidR="00787016" w:rsidRDefault="00DB6CE9" w:rsidP="00DB6CE9">
      <w:pPr>
        <w:autoSpaceDE w:val="0"/>
        <w:autoSpaceDN w:val="0"/>
        <w:adjustRightInd w:val="0"/>
        <w:ind w:firstLine="0"/>
        <w:jc w:val="right"/>
        <w:rPr>
          <w:b/>
          <w:color w:val="000000"/>
          <w:sz w:val="22"/>
          <w:szCs w:val="24"/>
          <w:lang w:val="ro-MD"/>
        </w:rPr>
      </w:pPr>
      <w:r w:rsidRPr="00312485">
        <w:rPr>
          <w:b/>
          <w:color w:val="000000"/>
          <w:sz w:val="22"/>
          <w:szCs w:val="24"/>
          <w:lang w:val="ro-MD"/>
        </w:rPr>
        <w:lastRenderedPageBreak/>
        <w:t>Tabelul 4.</w:t>
      </w:r>
      <w:r w:rsidR="00362440" w:rsidRPr="00312485">
        <w:rPr>
          <w:b/>
          <w:color w:val="000000"/>
          <w:sz w:val="22"/>
          <w:szCs w:val="24"/>
          <w:lang w:val="ro-MD"/>
        </w:rPr>
        <w:t>3</w:t>
      </w:r>
    </w:p>
    <w:p w14:paraId="6E27A2FE" w14:textId="77777777" w:rsidR="005E15AE" w:rsidRPr="00312485" w:rsidRDefault="005E15AE" w:rsidP="00DB6CE9">
      <w:pPr>
        <w:autoSpaceDE w:val="0"/>
        <w:autoSpaceDN w:val="0"/>
        <w:adjustRightInd w:val="0"/>
        <w:ind w:firstLine="0"/>
        <w:jc w:val="right"/>
        <w:rPr>
          <w:b/>
          <w:color w:val="000000"/>
          <w:sz w:val="24"/>
          <w:szCs w:val="24"/>
          <w:lang w:val="ro-MD"/>
        </w:rPr>
      </w:pPr>
    </w:p>
    <w:p w14:paraId="03481B84" w14:textId="48C3775E" w:rsidR="00DB6CE9" w:rsidRPr="001E5B17" w:rsidRDefault="00DB6CE9" w:rsidP="00DB6CE9">
      <w:pPr>
        <w:autoSpaceDE w:val="0"/>
        <w:autoSpaceDN w:val="0"/>
        <w:adjustRightInd w:val="0"/>
        <w:ind w:firstLine="0"/>
        <w:jc w:val="center"/>
        <w:rPr>
          <w:b/>
          <w:bCs/>
          <w:color w:val="000000"/>
          <w:sz w:val="22"/>
          <w:szCs w:val="24"/>
          <w:lang w:val="ro-MD"/>
        </w:rPr>
      </w:pPr>
      <w:r w:rsidRPr="001E5B17">
        <w:rPr>
          <w:b/>
          <w:bCs/>
          <w:color w:val="000000"/>
          <w:sz w:val="22"/>
          <w:szCs w:val="24"/>
          <w:lang w:val="ro-MD"/>
        </w:rPr>
        <w:t>Programul investițiilor capitale al BPN pe surse de finanțare și grupe principale pentru anii 2026-2028</w:t>
      </w:r>
    </w:p>
    <w:p w14:paraId="0DC73448" w14:textId="77777777" w:rsidR="00DB6CE9" w:rsidRPr="00312485" w:rsidRDefault="00DB6CE9" w:rsidP="00DB6CE9">
      <w:pPr>
        <w:autoSpaceDE w:val="0"/>
        <w:autoSpaceDN w:val="0"/>
        <w:adjustRightInd w:val="0"/>
        <w:ind w:firstLine="0"/>
        <w:jc w:val="center"/>
        <w:rPr>
          <w:sz w:val="24"/>
          <w:szCs w:val="24"/>
          <w:lang w:val="ro-MD" w:eastAsia="ru-RU"/>
        </w:rPr>
      </w:pPr>
    </w:p>
    <w:tbl>
      <w:tblPr>
        <w:tblW w:w="9492" w:type="dxa"/>
        <w:tblInd w:w="-142" w:type="dxa"/>
        <w:tblLook w:val="04A0" w:firstRow="1" w:lastRow="0" w:firstColumn="1" w:lastColumn="0" w:noHBand="0" w:noVBand="1"/>
      </w:tblPr>
      <w:tblGrid>
        <w:gridCol w:w="406"/>
        <w:gridCol w:w="283"/>
        <w:gridCol w:w="215"/>
        <w:gridCol w:w="1486"/>
        <w:gridCol w:w="794"/>
        <w:gridCol w:w="919"/>
        <w:gridCol w:w="919"/>
        <w:gridCol w:w="919"/>
        <w:gridCol w:w="794"/>
        <w:gridCol w:w="919"/>
        <w:gridCol w:w="919"/>
        <w:gridCol w:w="919"/>
      </w:tblGrid>
      <w:tr w:rsidR="009C268F" w:rsidRPr="00312485" w14:paraId="15DFE01D" w14:textId="77777777" w:rsidTr="00612999">
        <w:trPr>
          <w:trHeight w:val="11"/>
          <w:tblHeader/>
        </w:trPr>
        <w:tc>
          <w:tcPr>
            <w:tcW w:w="2390" w:type="dxa"/>
            <w:gridSpan w:val="4"/>
            <w:tcBorders>
              <w:top w:val="single" w:sz="8" w:space="0" w:color="auto"/>
              <w:left w:val="nil"/>
              <w:bottom w:val="nil"/>
              <w:right w:val="single" w:sz="4" w:space="0" w:color="auto"/>
            </w:tcBorders>
            <w:shd w:val="clear" w:color="000000" w:fill="FFFFFF"/>
            <w:noWrap/>
            <w:vAlign w:val="bottom"/>
            <w:hideMark/>
          </w:tcPr>
          <w:p w14:paraId="32302DE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794" w:type="dxa"/>
            <w:tcBorders>
              <w:top w:val="single" w:sz="8" w:space="0" w:color="auto"/>
              <w:left w:val="single" w:sz="4" w:space="0" w:color="auto"/>
              <w:bottom w:val="nil"/>
              <w:right w:val="nil"/>
            </w:tcBorders>
            <w:shd w:val="clear" w:color="000000" w:fill="FFFFFF"/>
            <w:noWrap/>
            <w:vAlign w:val="bottom"/>
            <w:hideMark/>
          </w:tcPr>
          <w:p w14:paraId="7D5D2A7D"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2025</w:t>
            </w:r>
          </w:p>
        </w:tc>
        <w:tc>
          <w:tcPr>
            <w:tcW w:w="919" w:type="dxa"/>
            <w:tcBorders>
              <w:top w:val="single" w:sz="8" w:space="0" w:color="auto"/>
              <w:left w:val="nil"/>
              <w:bottom w:val="nil"/>
              <w:right w:val="nil"/>
            </w:tcBorders>
            <w:shd w:val="clear" w:color="000000" w:fill="FFFFFF"/>
            <w:noWrap/>
            <w:vAlign w:val="bottom"/>
            <w:hideMark/>
          </w:tcPr>
          <w:p w14:paraId="7A33F31F"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2026</w:t>
            </w:r>
          </w:p>
        </w:tc>
        <w:tc>
          <w:tcPr>
            <w:tcW w:w="919" w:type="dxa"/>
            <w:tcBorders>
              <w:top w:val="single" w:sz="8" w:space="0" w:color="auto"/>
              <w:left w:val="nil"/>
              <w:bottom w:val="nil"/>
              <w:right w:val="nil"/>
            </w:tcBorders>
            <w:shd w:val="clear" w:color="000000" w:fill="FFFFFF"/>
            <w:noWrap/>
            <w:vAlign w:val="bottom"/>
            <w:hideMark/>
          </w:tcPr>
          <w:p w14:paraId="3602D3E3"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2027</w:t>
            </w:r>
          </w:p>
        </w:tc>
        <w:tc>
          <w:tcPr>
            <w:tcW w:w="919" w:type="dxa"/>
            <w:tcBorders>
              <w:top w:val="single" w:sz="8" w:space="0" w:color="auto"/>
              <w:left w:val="nil"/>
              <w:bottom w:val="nil"/>
              <w:right w:val="nil"/>
            </w:tcBorders>
            <w:shd w:val="clear" w:color="000000" w:fill="FFFFFF"/>
            <w:noWrap/>
            <w:vAlign w:val="bottom"/>
            <w:hideMark/>
          </w:tcPr>
          <w:p w14:paraId="25878D66"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2028</w:t>
            </w:r>
          </w:p>
        </w:tc>
        <w:tc>
          <w:tcPr>
            <w:tcW w:w="794" w:type="dxa"/>
            <w:tcBorders>
              <w:top w:val="single" w:sz="8" w:space="0" w:color="auto"/>
              <w:left w:val="dashed" w:sz="4" w:space="0" w:color="auto"/>
              <w:bottom w:val="nil"/>
              <w:right w:val="nil"/>
            </w:tcBorders>
            <w:shd w:val="clear" w:color="000000" w:fill="FFFFFF"/>
            <w:noWrap/>
            <w:vAlign w:val="bottom"/>
            <w:hideMark/>
          </w:tcPr>
          <w:p w14:paraId="5C48450A"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2025</w:t>
            </w:r>
          </w:p>
        </w:tc>
        <w:tc>
          <w:tcPr>
            <w:tcW w:w="919" w:type="dxa"/>
            <w:tcBorders>
              <w:top w:val="single" w:sz="8" w:space="0" w:color="auto"/>
              <w:left w:val="nil"/>
              <w:bottom w:val="nil"/>
              <w:right w:val="nil"/>
            </w:tcBorders>
            <w:shd w:val="clear" w:color="000000" w:fill="FFFFFF"/>
            <w:noWrap/>
            <w:vAlign w:val="bottom"/>
            <w:hideMark/>
          </w:tcPr>
          <w:p w14:paraId="5B8D794E"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2026</w:t>
            </w:r>
          </w:p>
        </w:tc>
        <w:tc>
          <w:tcPr>
            <w:tcW w:w="919" w:type="dxa"/>
            <w:tcBorders>
              <w:top w:val="single" w:sz="8" w:space="0" w:color="auto"/>
              <w:left w:val="nil"/>
              <w:bottom w:val="nil"/>
              <w:right w:val="nil"/>
            </w:tcBorders>
            <w:shd w:val="clear" w:color="000000" w:fill="FFFFFF"/>
            <w:noWrap/>
            <w:vAlign w:val="bottom"/>
            <w:hideMark/>
          </w:tcPr>
          <w:p w14:paraId="5D739C05"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2027</w:t>
            </w:r>
          </w:p>
        </w:tc>
        <w:tc>
          <w:tcPr>
            <w:tcW w:w="919" w:type="dxa"/>
            <w:tcBorders>
              <w:top w:val="single" w:sz="8" w:space="0" w:color="auto"/>
              <w:left w:val="nil"/>
              <w:bottom w:val="nil"/>
              <w:right w:val="nil"/>
            </w:tcBorders>
            <w:shd w:val="clear" w:color="000000" w:fill="FFFFFF"/>
            <w:noWrap/>
            <w:vAlign w:val="bottom"/>
            <w:hideMark/>
          </w:tcPr>
          <w:p w14:paraId="3735613B"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2028</w:t>
            </w:r>
          </w:p>
        </w:tc>
      </w:tr>
      <w:tr w:rsidR="009C268F" w:rsidRPr="00312485" w14:paraId="3B075E30" w14:textId="77777777" w:rsidTr="00612999">
        <w:trPr>
          <w:trHeight w:val="12"/>
          <w:tblHeader/>
        </w:trPr>
        <w:tc>
          <w:tcPr>
            <w:tcW w:w="406" w:type="dxa"/>
            <w:tcBorders>
              <w:top w:val="nil"/>
              <w:left w:val="nil"/>
              <w:bottom w:val="single" w:sz="4" w:space="0" w:color="auto"/>
              <w:right w:val="nil"/>
            </w:tcBorders>
            <w:shd w:val="clear" w:color="000000" w:fill="FFFFFF"/>
            <w:noWrap/>
            <w:vAlign w:val="center"/>
            <w:hideMark/>
          </w:tcPr>
          <w:p w14:paraId="48A57D8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498" w:type="dxa"/>
            <w:gridSpan w:val="2"/>
            <w:tcBorders>
              <w:top w:val="nil"/>
              <w:left w:val="nil"/>
              <w:bottom w:val="single" w:sz="4" w:space="0" w:color="auto"/>
              <w:right w:val="nil"/>
            </w:tcBorders>
            <w:shd w:val="clear" w:color="000000" w:fill="FFFFFF"/>
            <w:noWrap/>
            <w:vAlign w:val="center"/>
            <w:hideMark/>
          </w:tcPr>
          <w:p w14:paraId="0FCE2281"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1486" w:type="dxa"/>
            <w:tcBorders>
              <w:top w:val="nil"/>
              <w:left w:val="nil"/>
              <w:bottom w:val="single" w:sz="4" w:space="0" w:color="auto"/>
              <w:right w:val="single" w:sz="4" w:space="0" w:color="auto"/>
            </w:tcBorders>
            <w:shd w:val="clear" w:color="000000" w:fill="FFFFFF"/>
            <w:noWrap/>
            <w:vAlign w:val="center"/>
            <w:hideMark/>
          </w:tcPr>
          <w:p w14:paraId="720E5CA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794" w:type="dxa"/>
            <w:tcBorders>
              <w:top w:val="nil"/>
              <w:left w:val="single" w:sz="4" w:space="0" w:color="auto"/>
              <w:bottom w:val="single" w:sz="4" w:space="0" w:color="auto"/>
              <w:right w:val="nil"/>
            </w:tcBorders>
            <w:shd w:val="clear" w:color="000000" w:fill="FFFFFF"/>
            <w:noWrap/>
            <w:vAlign w:val="center"/>
            <w:hideMark/>
          </w:tcPr>
          <w:p w14:paraId="2C04FF1C"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Aprobat</w:t>
            </w:r>
          </w:p>
        </w:tc>
        <w:tc>
          <w:tcPr>
            <w:tcW w:w="919" w:type="dxa"/>
            <w:tcBorders>
              <w:top w:val="nil"/>
              <w:left w:val="nil"/>
              <w:bottom w:val="single" w:sz="4" w:space="0" w:color="auto"/>
              <w:right w:val="nil"/>
            </w:tcBorders>
            <w:shd w:val="clear" w:color="000000" w:fill="FFFFFF"/>
            <w:noWrap/>
            <w:vAlign w:val="center"/>
            <w:hideMark/>
          </w:tcPr>
          <w:p w14:paraId="56BB8EA4"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c>
          <w:tcPr>
            <w:tcW w:w="919" w:type="dxa"/>
            <w:tcBorders>
              <w:top w:val="nil"/>
              <w:left w:val="nil"/>
              <w:bottom w:val="single" w:sz="4" w:space="0" w:color="auto"/>
              <w:right w:val="nil"/>
            </w:tcBorders>
            <w:shd w:val="clear" w:color="000000" w:fill="FFFFFF"/>
            <w:noWrap/>
            <w:vAlign w:val="center"/>
            <w:hideMark/>
          </w:tcPr>
          <w:p w14:paraId="745C0FA1"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c>
          <w:tcPr>
            <w:tcW w:w="919" w:type="dxa"/>
            <w:tcBorders>
              <w:top w:val="nil"/>
              <w:left w:val="nil"/>
              <w:bottom w:val="single" w:sz="4" w:space="0" w:color="auto"/>
              <w:right w:val="dotted" w:sz="4" w:space="0" w:color="auto"/>
            </w:tcBorders>
            <w:shd w:val="clear" w:color="000000" w:fill="FFFFFF"/>
            <w:noWrap/>
            <w:vAlign w:val="center"/>
            <w:hideMark/>
          </w:tcPr>
          <w:p w14:paraId="0AD07C77"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c>
          <w:tcPr>
            <w:tcW w:w="794" w:type="dxa"/>
            <w:tcBorders>
              <w:top w:val="nil"/>
              <w:left w:val="nil"/>
              <w:bottom w:val="single" w:sz="4" w:space="0" w:color="auto"/>
              <w:right w:val="nil"/>
            </w:tcBorders>
            <w:shd w:val="clear" w:color="000000" w:fill="FFFFFF"/>
            <w:noWrap/>
            <w:vAlign w:val="center"/>
            <w:hideMark/>
          </w:tcPr>
          <w:p w14:paraId="7B43A723"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Aprobat</w:t>
            </w:r>
          </w:p>
        </w:tc>
        <w:tc>
          <w:tcPr>
            <w:tcW w:w="919" w:type="dxa"/>
            <w:tcBorders>
              <w:top w:val="nil"/>
              <w:left w:val="nil"/>
              <w:bottom w:val="single" w:sz="4" w:space="0" w:color="auto"/>
              <w:right w:val="nil"/>
            </w:tcBorders>
            <w:shd w:val="clear" w:color="000000" w:fill="FFFFFF"/>
            <w:noWrap/>
            <w:vAlign w:val="center"/>
            <w:hideMark/>
          </w:tcPr>
          <w:p w14:paraId="6D6FD59C"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c>
          <w:tcPr>
            <w:tcW w:w="919" w:type="dxa"/>
            <w:tcBorders>
              <w:top w:val="nil"/>
              <w:left w:val="nil"/>
              <w:bottom w:val="single" w:sz="4" w:space="0" w:color="auto"/>
              <w:right w:val="nil"/>
            </w:tcBorders>
            <w:shd w:val="clear" w:color="000000" w:fill="FFFFFF"/>
            <w:noWrap/>
            <w:vAlign w:val="center"/>
            <w:hideMark/>
          </w:tcPr>
          <w:p w14:paraId="7662B116"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c>
          <w:tcPr>
            <w:tcW w:w="919" w:type="dxa"/>
            <w:tcBorders>
              <w:top w:val="nil"/>
              <w:left w:val="nil"/>
              <w:bottom w:val="single" w:sz="4" w:space="0" w:color="auto"/>
              <w:right w:val="nil"/>
            </w:tcBorders>
            <w:shd w:val="clear" w:color="000000" w:fill="FFFFFF"/>
            <w:noWrap/>
            <w:vAlign w:val="center"/>
            <w:hideMark/>
          </w:tcPr>
          <w:p w14:paraId="43309D17"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Prognozat</w:t>
            </w:r>
          </w:p>
        </w:tc>
      </w:tr>
      <w:tr w:rsidR="009C268F" w:rsidRPr="00312485" w14:paraId="31770CAA" w14:textId="77777777" w:rsidTr="00612999">
        <w:trPr>
          <w:trHeight w:val="8"/>
        </w:trPr>
        <w:tc>
          <w:tcPr>
            <w:tcW w:w="406" w:type="dxa"/>
            <w:tcBorders>
              <w:top w:val="single" w:sz="4" w:space="0" w:color="auto"/>
              <w:left w:val="nil"/>
              <w:bottom w:val="single" w:sz="4" w:space="0" w:color="auto"/>
              <w:right w:val="nil"/>
            </w:tcBorders>
            <w:shd w:val="clear" w:color="000000" w:fill="FFFFFF"/>
            <w:noWrap/>
            <w:vAlign w:val="center"/>
            <w:hideMark/>
          </w:tcPr>
          <w:p w14:paraId="24B52152"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498" w:type="dxa"/>
            <w:gridSpan w:val="2"/>
            <w:tcBorders>
              <w:top w:val="single" w:sz="4" w:space="0" w:color="auto"/>
              <w:left w:val="nil"/>
              <w:bottom w:val="single" w:sz="4" w:space="0" w:color="auto"/>
              <w:right w:val="nil"/>
            </w:tcBorders>
            <w:shd w:val="clear" w:color="000000" w:fill="FFFFFF"/>
            <w:noWrap/>
            <w:vAlign w:val="center"/>
            <w:hideMark/>
          </w:tcPr>
          <w:p w14:paraId="53CBFE03"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1486" w:type="dxa"/>
            <w:tcBorders>
              <w:top w:val="single" w:sz="4" w:space="0" w:color="auto"/>
              <w:left w:val="nil"/>
              <w:bottom w:val="single" w:sz="4" w:space="0" w:color="auto"/>
              <w:right w:val="single" w:sz="4" w:space="0" w:color="auto"/>
            </w:tcBorders>
            <w:shd w:val="clear" w:color="000000" w:fill="FFFFFF"/>
            <w:noWrap/>
            <w:vAlign w:val="center"/>
            <w:hideMark/>
          </w:tcPr>
          <w:p w14:paraId="53DC8DE8"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3551" w:type="dxa"/>
            <w:gridSpan w:val="4"/>
            <w:tcBorders>
              <w:top w:val="single" w:sz="4" w:space="0" w:color="auto"/>
              <w:left w:val="single" w:sz="4" w:space="0" w:color="auto"/>
              <w:bottom w:val="single" w:sz="4" w:space="0" w:color="auto"/>
              <w:right w:val="nil"/>
            </w:tcBorders>
            <w:shd w:val="clear" w:color="000000" w:fill="FFFFFF"/>
            <w:noWrap/>
            <w:vAlign w:val="center"/>
            <w:hideMark/>
          </w:tcPr>
          <w:p w14:paraId="4F3CEEC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mil.lei</w:t>
            </w:r>
          </w:p>
        </w:tc>
        <w:tc>
          <w:tcPr>
            <w:tcW w:w="3551" w:type="dxa"/>
            <w:gridSpan w:val="4"/>
            <w:tcBorders>
              <w:top w:val="single" w:sz="4" w:space="0" w:color="auto"/>
              <w:left w:val="dashed" w:sz="4" w:space="0" w:color="auto"/>
              <w:bottom w:val="single" w:sz="4" w:space="0" w:color="auto"/>
              <w:right w:val="nil"/>
            </w:tcBorders>
            <w:shd w:val="clear" w:color="000000" w:fill="FFFFFF"/>
            <w:noWrap/>
            <w:vAlign w:val="center"/>
            <w:hideMark/>
          </w:tcPr>
          <w:p w14:paraId="6FA1E910"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în PIB</w:t>
            </w:r>
          </w:p>
        </w:tc>
      </w:tr>
      <w:tr w:rsidR="009C268F" w:rsidRPr="00312485" w14:paraId="7CD777FA" w14:textId="77777777" w:rsidTr="00612999">
        <w:trPr>
          <w:trHeight w:val="8"/>
        </w:trPr>
        <w:tc>
          <w:tcPr>
            <w:tcW w:w="2390"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3F2DA75B" w14:textId="77777777" w:rsidR="009C268F" w:rsidRPr="00312485" w:rsidRDefault="009C268F" w:rsidP="00406CDD">
            <w:pPr>
              <w:ind w:firstLine="0"/>
              <w:jc w:val="left"/>
              <w:rPr>
                <w:b/>
                <w:bCs/>
                <w:color w:val="000000"/>
                <w:sz w:val="16"/>
                <w:szCs w:val="16"/>
                <w:lang w:val="ro-MD"/>
              </w:rPr>
            </w:pPr>
            <w:r w:rsidRPr="00312485">
              <w:rPr>
                <w:b/>
                <w:bCs/>
                <w:color w:val="000000"/>
                <w:sz w:val="16"/>
                <w:szCs w:val="16"/>
                <w:lang w:val="ro-MD"/>
              </w:rPr>
              <w:t>TOTAL bugetul public național</w:t>
            </w:r>
          </w:p>
        </w:tc>
        <w:tc>
          <w:tcPr>
            <w:tcW w:w="794" w:type="dxa"/>
            <w:tcBorders>
              <w:top w:val="nil"/>
              <w:left w:val="single" w:sz="4" w:space="0" w:color="auto"/>
              <w:bottom w:val="single" w:sz="4" w:space="0" w:color="auto"/>
              <w:right w:val="nil"/>
            </w:tcBorders>
            <w:shd w:val="clear" w:color="000000" w:fill="FFFFFF"/>
            <w:noWrap/>
            <w:vAlign w:val="center"/>
            <w:hideMark/>
          </w:tcPr>
          <w:p w14:paraId="557A207B"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4 395,3</w:t>
            </w:r>
          </w:p>
        </w:tc>
        <w:tc>
          <w:tcPr>
            <w:tcW w:w="919" w:type="dxa"/>
            <w:tcBorders>
              <w:top w:val="nil"/>
              <w:left w:val="nil"/>
              <w:bottom w:val="single" w:sz="4" w:space="0" w:color="auto"/>
              <w:right w:val="nil"/>
            </w:tcBorders>
            <w:shd w:val="clear" w:color="000000" w:fill="FFFFFF"/>
            <w:noWrap/>
            <w:vAlign w:val="center"/>
            <w:hideMark/>
          </w:tcPr>
          <w:p w14:paraId="493CE108"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5 825,4</w:t>
            </w:r>
          </w:p>
        </w:tc>
        <w:tc>
          <w:tcPr>
            <w:tcW w:w="919" w:type="dxa"/>
            <w:tcBorders>
              <w:top w:val="nil"/>
              <w:left w:val="nil"/>
              <w:bottom w:val="single" w:sz="4" w:space="0" w:color="auto"/>
              <w:right w:val="nil"/>
            </w:tcBorders>
            <w:shd w:val="clear" w:color="000000" w:fill="FFFFFF"/>
            <w:noWrap/>
            <w:vAlign w:val="center"/>
            <w:hideMark/>
          </w:tcPr>
          <w:p w14:paraId="3F91BB49"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9 010,8</w:t>
            </w:r>
          </w:p>
        </w:tc>
        <w:tc>
          <w:tcPr>
            <w:tcW w:w="919" w:type="dxa"/>
            <w:tcBorders>
              <w:top w:val="nil"/>
              <w:left w:val="nil"/>
              <w:bottom w:val="single" w:sz="4" w:space="0" w:color="auto"/>
              <w:right w:val="nil"/>
            </w:tcBorders>
            <w:shd w:val="clear" w:color="000000" w:fill="FFFFFF"/>
            <w:noWrap/>
            <w:vAlign w:val="center"/>
            <w:hideMark/>
          </w:tcPr>
          <w:p w14:paraId="54CAAF04"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11 491,4</w:t>
            </w:r>
          </w:p>
        </w:tc>
        <w:tc>
          <w:tcPr>
            <w:tcW w:w="794" w:type="dxa"/>
            <w:tcBorders>
              <w:top w:val="nil"/>
              <w:left w:val="dashed" w:sz="4" w:space="0" w:color="auto"/>
              <w:bottom w:val="single" w:sz="4" w:space="0" w:color="auto"/>
              <w:right w:val="nil"/>
            </w:tcBorders>
            <w:shd w:val="clear" w:color="000000" w:fill="FFFFFF"/>
            <w:noWrap/>
            <w:vAlign w:val="center"/>
            <w:hideMark/>
          </w:tcPr>
          <w:p w14:paraId="7EA921F0"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1,3</w:t>
            </w:r>
          </w:p>
        </w:tc>
        <w:tc>
          <w:tcPr>
            <w:tcW w:w="919" w:type="dxa"/>
            <w:tcBorders>
              <w:top w:val="nil"/>
              <w:left w:val="nil"/>
              <w:bottom w:val="single" w:sz="4" w:space="0" w:color="auto"/>
              <w:right w:val="nil"/>
            </w:tcBorders>
            <w:shd w:val="clear" w:color="000000" w:fill="FFFFFF"/>
            <w:noWrap/>
            <w:vAlign w:val="center"/>
            <w:hideMark/>
          </w:tcPr>
          <w:p w14:paraId="3987ED33"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1,5</w:t>
            </w:r>
          </w:p>
        </w:tc>
        <w:tc>
          <w:tcPr>
            <w:tcW w:w="919" w:type="dxa"/>
            <w:tcBorders>
              <w:top w:val="nil"/>
              <w:left w:val="nil"/>
              <w:bottom w:val="single" w:sz="4" w:space="0" w:color="auto"/>
              <w:right w:val="nil"/>
            </w:tcBorders>
            <w:shd w:val="clear" w:color="000000" w:fill="FFFFFF"/>
            <w:noWrap/>
            <w:vAlign w:val="center"/>
            <w:hideMark/>
          </w:tcPr>
          <w:p w14:paraId="2EA37E7E"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2,2</w:t>
            </w:r>
          </w:p>
        </w:tc>
        <w:tc>
          <w:tcPr>
            <w:tcW w:w="919" w:type="dxa"/>
            <w:tcBorders>
              <w:top w:val="nil"/>
              <w:left w:val="nil"/>
              <w:bottom w:val="single" w:sz="4" w:space="0" w:color="auto"/>
              <w:right w:val="nil"/>
            </w:tcBorders>
            <w:shd w:val="clear" w:color="000000" w:fill="FFFFFF"/>
            <w:noWrap/>
            <w:vAlign w:val="center"/>
            <w:hideMark/>
          </w:tcPr>
          <w:p w14:paraId="51386DC1"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2,6</w:t>
            </w:r>
          </w:p>
        </w:tc>
      </w:tr>
      <w:tr w:rsidR="009C268F" w:rsidRPr="00312485" w14:paraId="372491DE" w14:textId="77777777" w:rsidTr="00612999">
        <w:trPr>
          <w:trHeight w:val="8"/>
        </w:trPr>
        <w:tc>
          <w:tcPr>
            <w:tcW w:w="406" w:type="dxa"/>
            <w:tcBorders>
              <w:top w:val="nil"/>
              <w:left w:val="nil"/>
              <w:bottom w:val="nil"/>
              <w:right w:val="nil"/>
            </w:tcBorders>
            <w:shd w:val="clear" w:color="000000" w:fill="FFFFFF"/>
            <w:noWrap/>
            <w:vAlign w:val="center"/>
            <w:hideMark/>
          </w:tcPr>
          <w:p w14:paraId="71229D1D"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498" w:type="dxa"/>
            <w:gridSpan w:val="2"/>
            <w:tcBorders>
              <w:top w:val="nil"/>
              <w:left w:val="nil"/>
              <w:bottom w:val="nil"/>
              <w:right w:val="nil"/>
            </w:tcBorders>
            <w:shd w:val="clear" w:color="000000" w:fill="FFFFFF"/>
            <w:noWrap/>
            <w:vAlign w:val="center"/>
            <w:hideMark/>
          </w:tcPr>
          <w:p w14:paraId="57F265EF"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1486" w:type="dxa"/>
            <w:tcBorders>
              <w:top w:val="nil"/>
              <w:left w:val="nil"/>
              <w:bottom w:val="nil"/>
              <w:right w:val="single" w:sz="4" w:space="0" w:color="auto"/>
            </w:tcBorders>
            <w:shd w:val="clear" w:color="000000" w:fill="FFFFFF"/>
            <w:noWrap/>
            <w:vAlign w:val="center"/>
            <w:hideMark/>
          </w:tcPr>
          <w:p w14:paraId="093D5A2B"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3551" w:type="dxa"/>
            <w:gridSpan w:val="4"/>
            <w:tcBorders>
              <w:top w:val="single" w:sz="4" w:space="0" w:color="auto"/>
              <w:left w:val="single" w:sz="4" w:space="0" w:color="auto"/>
              <w:bottom w:val="nil"/>
              <w:right w:val="dotted" w:sz="4" w:space="0" w:color="000000"/>
            </w:tcBorders>
            <w:shd w:val="clear" w:color="000000" w:fill="FFFFFF"/>
            <w:noWrap/>
            <w:vAlign w:val="bottom"/>
            <w:hideMark/>
          </w:tcPr>
          <w:p w14:paraId="11B8DD05" w14:textId="540F4A70" w:rsidR="009C268F" w:rsidRPr="00312485" w:rsidRDefault="004B5481" w:rsidP="004B5481">
            <w:pPr>
              <w:ind w:firstLine="0"/>
              <w:jc w:val="center"/>
              <w:rPr>
                <w:color w:val="000000"/>
                <w:sz w:val="16"/>
                <w:szCs w:val="16"/>
                <w:lang w:val="ro-MD"/>
              </w:rPr>
            </w:pPr>
            <w:r w:rsidRPr="00312485">
              <w:rPr>
                <w:color w:val="000000"/>
                <w:sz w:val="16"/>
                <w:szCs w:val="16"/>
                <w:lang w:val="ro-MD"/>
              </w:rPr>
              <w:t>m</w:t>
            </w:r>
            <w:r w:rsidR="009C268F" w:rsidRPr="00312485">
              <w:rPr>
                <w:color w:val="000000"/>
                <w:sz w:val="16"/>
                <w:szCs w:val="16"/>
                <w:lang w:val="ro-MD"/>
              </w:rPr>
              <w:t>il</w:t>
            </w:r>
            <w:r w:rsidRPr="00312485">
              <w:rPr>
                <w:color w:val="000000"/>
                <w:sz w:val="16"/>
                <w:szCs w:val="16"/>
                <w:lang w:val="ro-MD"/>
              </w:rPr>
              <w:t>.</w:t>
            </w:r>
            <w:r w:rsidR="009C268F" w:rsidRPr="00312485">
              <w:rPr>
                <w:color w:val="000000"/>
                <w:sz w:val="16"/>
                <w:szCs w:val="16"/>
                <w:lang w:val="ro-MD"/>
              </w:rPr>
              <w:t xml:space="preserve"> lei</w:t>
            </w:r>
          </w:p>
        </w:tc>
        <w:tc>
          <w:tcPr>
            <w:tcW w:w="3551" w:type="dxa"/>
            <w:gridSpan w:val="4"/>
            <w:tcBorders>
              <w:top w:val="single" w:sz="4" w:space="0" w:color="auto"/>
              <w:left w:val="nil"/>
              <w:bottom w:val="nil"/>
              <w:right w:val="nil"/>
            </w:tcBorders>
            <w:shd w:val="clear" w:color="000000" w:fill="FFFFFF"/>
            <w:noWrap/>
            <w:vAlign w:val="center"/>
            <w:hideMark/>
          </w:tcPr>
          <w:p w14:paraId="7C03C189"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în suma totală</w:t>
            </w:r>
          </w:p>
        </w:tc>
      </w:tr>
      <w:tr w:rsidR="009C268F" w:rsidRPr="00312485" w14:paraId="29F5A767" w14:textId="77777777" w:rsidTr="00612999">
        <w:trPr>
          <w:trHeight w:val="6"/>
        </w:trPr>
        <w:tc>
          <w:tcPr>
            <w:tcW w:w="2390" w:type="dxa"/>
            <w:gridSpan w:val="4"/>
            <w:tcBorders>
              <w:top w:val="nil"/>
              <w:left w:val="nil"/>
              <w:bottom w:val="nil"/>
              <w:right w:val="single" w:sz="4" w:space="0" w:color="auto"/>
            </w:tcBorders>
            <w:shd w:val="clear" w:color="000000" w:fill="FFFFFF"/>
            <w:noWrap/>
            <w:vAlign w:val="center"/>
            <w:hideMark/>
          </w:tcPr>
          <w:p w14:paraId="10FCB71C" w14:textId="77777777" w:rsidR="009C268F" w:rsidRPr="00312485" w:rsidRDefault="009C268F" w:rsidP="009C268F">
            <w:pPr>
              <w:ind w:firstLine="0"/>
              <w:jc w:val="left"/>
              <w:rPr>
                <w:b/>
                <w:bCs/>
                <w:i/>
                <w:iCs/>
                <w:color w:val="000000"/>
                <w:sz w:val="16"/>
                <w:szCs w:val="16"/>
                <w:lang w:val="ro-MD"/>
              </w:rPr>
            </w:pPr>
            <w:r w:rsidRPr="00312485">
              <w:rPr>
                <w:b/>
                <w:bCs/>
                <w:i/>
                <w:iCs/>
                <w:color w:val="000000"/>
                <w:sz w:val="16"/>
                <w:szCs w:val="16"/>
                <w:lang w:val="ro-MD"/>
              </w:rPr>
              <w:t>dintre care:</w:t>
            </w:r>
          </w:p>
        </w:tc>
        <w:tc>
          <w:tcPr>
            <w:tcW w:w="794" w:type="dxa"/>
            <w:tcBorders>
              <w:top w:val="nil"/>
              <w:left w:val="single" w:sz="4" w:space="0" w:color="auto"/>
              <w:bottom w:val="nil"/>
              <w:right w:val="nil"/>
            </w:tcBorders>
            <w:shd w:val="clear" w:color="000000" w:fill="FFFFFF"/>
            <w:noWrap/>
            <w:vAlign w:val="center"/>
            <w:hideMark/>
          </w:tcPr>
          <w:p w14:paraId="4A096F4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66FE18C2"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3D08A5E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0FD0E663"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794" w:type="dxa"/>
            <w:tcBorders>
              <w:top w:val="nil"/>
              <w:left w:val="dashed" w:sz="4" w:space="0" w:color="auto"/>
              <w:bottom w:val="nil"/>
              <w:right w:val="nil"/>
            </w:tcBorders>
            <w:shd w:val="clear" w:color="000000" w:fill="FFFFFF"/>
            <w:noWrap/>
            <w:vAlign w:val="center"/>
            <w:hideMark/>
          </w:tcPr>
          <w:p w14:paraId="5C230D2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47BD4D71"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4450B69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67790D07"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r>
      <w:tr w:rsidR="009C268F" w:rsidRPr="00312485" w14:paraId="4B51E3B0" w14:textId="77777777" w:rsidTr="00612999">
        <w:trPr>
          <w:trHeight w:val="8"/>
        </w:trPr>
        <w:tc>
          <w:tcPr>
            <w:tcW w:w="2390" w:type="dxa"/>
            <w:gridSpan w:val="4"/>
            <w:tcBorders>
              <w:top w:val="nil"/>
              <w:left w:val="nil"/>
              <w:bottom w:val="single" w:sz="4" w:space="0" w:color="auto"/>
              <w:right w:val="single" w:sz="4" w:space="0" w:color="auto"/>
            </w:tcBorders>
            <w:shd w:val="clear" w:color="000000" w:fill="FFFFFF"/>
            <w:noWrap/>
            <w:vAlign w:val="bottom"/>
            <w:hideMark/>
          </w:tcPr>
          <w:p w14:paraId="5023D66F" w14:textId="18C24562" w:rsidR="009C268F" w:rsidRPr="00312485" w:rsidRDefault="009C268F" w:rsidP="004B5481">
            <w:pPr>
              <w:ind w:firstLineChars="300" w:firstLine="480"/>
              <w:jc w:val="left"/>
              <w:rPr>
                <w:b/>
                <w:bCs/>
                <w:color w:val="000000"/>
                <w:sz w:val="16"/>
                <w:szCs w:val="16"/>
                <w:lang w:val="ro-MD"/>
              </w:rPr>
            </w:pPr>
            <w:r w:rsidRPr="00312485">
              <w:rPr>
                <w:b/>
                <w:bCs/>
                <w:color w:val="000000"/>
                <w:sz w:val="16"/>
                <w:szCs w:val="16"/>
                <w:lang w:val="ro-MD"/>
              </w:rPr>
              <w:t>Total bugetul de stat</w:t>
            </w:r>
          </w:p>
        </w:tc>
        <w:tc>
          <w:tcPr>
            <w:tcW w:w="794" w:type="dxa"/>
            <w:tcBorders>
              <w:top w:val="nil"/>
              <w:left w:val="single" w:sz="4" w:space="0" w:color="auto"/>
              <w:bottom w:val="single" w:sz="4" w:space="0" w:color="auto"/>
              <w:right w:val="nil"/>
            </w:tcBorders>
            <w:shd w:val="clear" w:color="000000" w:fill="FFFFFF"/>
            <w:noWrap/>
            <w:vAlign w:val="bottom"/>
            <w:hideMark/>
          </w:tcPr>
          <w:p w14:paraId="09E64D20"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2 208,4</w:t>
            </w:r>
          </w:p>
        </w:tc>
        <w:tc>
          <w:tcPr>
            <w:tcW w:w="919" w:type="dxa"/>
            <w:tcBorders>
              <w:top w:val="nil"/>
              <w:left w:val="nil"/>
              <w:bottom w:val="single" w:sz="4" w:space="0" w:color="auto"/>
              <w:right w:val="nil"/>
            </w:tcBorders>
            <w:shd w:val="clear" w:color="000000" w:fill="FFFFFF"/>
            <w:noWrap/>
            <w:vAlign w:val="bottom"/>
            <w:hideMark/>
          </w:tcPr>
          <w:p w14:paraId="63296E35"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3 638,5</w:t>
            </w:r>
          </w:p>
        </w:tc>
        <w:tc>
          <w:tcPr>
            <w:tcW w:w="919" w:type="dxa"/>
            <w:tcBorders>
              <w:top w:val="nil"/>
              <w:left w:val="nil"/>
              <w:bottom w:val="single" w:sz="4" w:space="0" w:color="auto"/>
              <w:right w:val="nil"/>
            </w:tcBorders>
            <w:shd w:val="clear" w:color="000000" w:fill="FFFFFF"/>
            <w:noWrap/>
            <w:vAlign w:val="bottom"/>
            <w:hideMark/>
          </w:tcPr>
          <w:p w14:paraId="4775E030"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6 823,9</w:t>
            </w:r>
          </w:p>
        </w:tc>
        <w:tc>
          <w:tcPr>
            <w:tcW w:w="919" w:type="dxa"/>
            <w:tcBorders>
              <w:top w:val="nil"/>
              <w:left w:val="nil"/>
              <w:bottom w:val="single" w:sz="4" w:space="0" w:color="auto"/>
              <w:right w:val="nil"/>
            </w:tcBorders>
            <w:shd w:val="clear" w:color="000000" w:fill="FFFFFF"/>
            <w:noWrap/>
            <w:vAlign w:val="bottom"/>
            <w:hideMark/>
          </w:tcPr>
          <w:p w14:paraId="102671B9"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9 304,5</w:t>
            </w:r>
          </w:p>
        </w:tc>
        <w:tc>
          <w:tcPr>
            <w:tcW w:w="794" w:type="dxa"/>
            <w:tcBorders>
              <w:top w:val="nil"/>
              <w:left w:val="dashed" w:sz="4" w:space="0" w:color="auto"/>
              <w:bottom w:val="single" w:sz="4" w:space="0" w:color="auto"/>
              <w:right w:val="nil"/>
            </w:tcBorders>
            <w:shd w:val="clear" w:color="000000" w:fill="FFFFFF"/>
            <w:noWrap/>
            <w:vAlign w:val="bottom"/>
            <w:hideMark/>
          </w:tcPr>
          <w:p w14:paraId="2DE58958"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nil"/>
              <w:left w:val="nil"/>
              <w:bottom w:val="single" w:sz="4" w:space="0" w:color="auto"/>
              <w:right w:val="nil"/>
            </w:tcBorders>
            <w:shd w:val="clear" w:color="000000" w:fill="FFFFFF"/>
            <w:noWrap/>
            <w:vAlign w:val="bottom"/>
            <w:hideMark/>
          </w:tcPr>
          <w:p w14:paraId="59D2C537"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nil"/>
              <w:left w:val="nil"/>
              <w:bottom w:val="single" w:sz="4" w:space="0" w:color="auto"/>
              <w:right w:val="nil"/>
            </w:tcBorders>
            <w:shd w:val="clear" w:color="000000" w:fill="FFFFFF"/>
            <w:noWrap/>
            <w:vAlign w:val="bottom"/>
            <w:hideMark/>
          </w:tcPr>
          <w:p w14:paraId="05E4BD6E"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nil"/>
              <w:left w:val="nil"/>
              <w:bottom w:val="single" w:sz="4" w:space="0" w:color="auto"/>
              <w:right w:val="nil"/>
            </w:tcBorders>
            <w:shd w:val="clear" w:color="000000" w:fill="FFFFFF"/>
            <w:noWrap/>
            <w:vAlign w:val="bottom"/>
            <w:hideMark/>
          </w:tcPr>
          <w:p w14:paraId="3343CE66"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r>
      <w:tr w:rsidR="009C268F" w:rsidRPr="00312485" w14:paraId="7C88D6A8" w14:textId="77777777" w:rsidTr="00612999">
        <w:trPr>
          <w:trHeight w:val="11"/>
        </w:trPr>
        <w:tc>
          <w:tcPr>
            <w:tcW w:w="689" w:type="dxa"/>
            <w:gridSpan w:val="2"/>
            <w:vMerge w:val="restart"/>
            <w:tcBorders>
              <w:top w:val="nil"/>
              <w:left w:val="nil"/>
              <w:bottom w:val="nil"/>
              <w:right w:val="nil"/>
            </w:tcBorders>
            <w:shd w:val="clear" w:color="000000" w:fill="FFFFFF"/>
            <w:textDirection w:val="btLr"/>
            <w:vAlign w:val="center"/>
            <w:hideMark/>
          </w:tcPr>
          <w:p w14:paraId="1F98BF77"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Surse de finanțare</w:t>
            </w:r>
          </w:p>
        </w:tc>
        <w:tc>
          <w:tcPr>
            <w:tcW w:w="1701" w:type="dxa"/>
            <w:gridSpan w:val="2"/>
            <w:tcBorders>
              <w:top w:val="nil"/>
              <w:left w:val="nil"/>
              <w:bottom w:val="nil"/>
              <w:right w:val="single" w:sz="4" w:space="0" w:color="auto"/>
            </w:tcBorders>
            <w:shd w:val="clear" w:color="000000" w:fill="FFFFFF"/>
            <w:noWrap/>
            <w:vAlign w:val="center"/>
            <w:hideMark/>
          </w:tcPr>
          <w:p w14:paraId="41F5FA9E"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Resurse generale, total</w:t>
            </w:r>
          </w:p>
        </w:tc>
        <w:tc>
          <w:tcPr>
            <w:tcW w:w="794" w:type="dxa"/>
            <w:tcBorders>
              <w:top w:val="nil"/>
              <w:left w:val="single" w:sz="4" w:space="0" w:color="auto"/>
              <w:bottom w:val="nil"/>
              <w:right w:val="nil"/>
            </w:tcBorders>
            <w:shd w:val="clear" w:color="000000" w:fill="FFFFFF"/>
            <w:noWrap/>
            <w:vAlign w:val="center"/>
            <w:hideMark/>
          </w:tcPr>
          <w:p w14:paraId="149C56B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409,7</w:t>
            </w:r>
          </w:p>
        </w:tc>
        <w:tc>
          <w:tcPr>
            <w:tcW w:w="919" w:type="dxa"/>
            <w:tcBorders>
              <w:top w:val="nil"/>
              <w:left w:val="nil"/>
              <w:bottom w:val="nil"/>
              <w:right w:val="nil"/>
            </w:tcBorders>
            <w:shd w:val="clear" w:color="000000" w:fill="FFFFFF"/>
            <w:noWrap/>
            <w:vAlign w:val="center"/>
            <w:hideMark/>
          </w:tcPr>
          <w:p w14:paraId="4CB68F3B"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1 269,6</w:t>
            </w:r>
          </w:p>
        </w:tc>
        <w:tc>
          <w:tcPr>
            <w:tcW w:w="919" w:type="dxa"/>
            <w:tcBorders>
              <w:top w:val="nil"/>
              <w:left w:val="nil"/>
              <w:bottom w:val="nil"/>
              <w:right w:val="nil"/>
            </w:tcBorders>
            <w:shd w:val="clear" w:color="000000" w:fill="FFFFFF"/>
            <w:noWrap/>
            <w:vAlign w:val="center"/>
            <w:hideMark/>
          </w:tcPr>
          <w:p w14:paraId="12A1967D"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3 786,9</w:t>
            </w:r>
          </w:p>
        </w:tc>
        <w:tc>
          <w:tcPr>
            <w:tcW w:w="919" w:type="dxa"/>
            <w:tcBorders>
              <w:top w:val="nil"/>
              <w:left w:val="nil"/>
              <w:bottom w:val="nil"/>
              <w:right w:val="nil"/>
            </w:tcBorders>
            <w:shd w:val="clear" w:color="000000" w:fill="FFFFFF"/>
            <w:noWrap/>
            <w:vAlign w:val="center"/>
            <w:hideMark/>
          </w:tcPr>
          <w:p w14:paraId="5C16FAE5"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5 840,3</w:t>
            </w:r>
          </w:p>
        </w:tc>
        <w:tc>
          <w:tcPr>
            <w:tcW w:w="794" w:type="dxa"/>
            <w:tcBorders>
              <w:top w:val="nil"/>
              <w:left w:val="dashed" w:sz="4" w:space="0" w:color="auto"/>
              <w:bottom w:val="nil"/>
              <w:right w:val="nil"/>
            </w:tcBorders>
            <w:shd w:val="clear" w:color="000000" w:fill="FFFFFF"/>
            <w:noWrap/>
            <w:vAlign w:val="center"/>
            <w:hideMark/>
          </w:tcPr>
          <w:p w14:paraId="78A419F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18,6</w:t>
            </w:r>
          </w:p>
        </w:tc>
        <w:tc>
          <w:tcPr>
            <w:tcW w:w="919" w:type="dxa"/>
            <w:tcBorders>
              <w:top w:val="nil"/>
              <w:left w:val="nil"/>
              <w:bottom w:val="nil"/>
              <w:right w:val="nil"/>
            </w:tcBorders>
            <w:shd w:val="clear" w:color="000000" w:fill="FFFFFF"/>
            <w:noWrap/>
            <w:vAlign w:val="center"/>
            <w:hideMark/>
          </w:tcPr>
          <w:p w14:paraId="4A847BA8"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34,9</w:t>
            </w:r>
          </w:p>
        </w:tc>
        <w:tc>
          <w:tcPr>
            <w:tcW w:w="919" w:type="dxa"/>
            <w:tcBorders>
              <w:top w:val="nil"/>
              <w:left w:val="nil"/>
              <w:bottom w:val="nil"/>
              <w:right w:val="nil"/>
            </w:tcBorders>
            <w:shd w:val="clear" w:color="000000" w:fill="FFFFFF"/>
            <w:noWrap/>
            <w:vAlign w:val="center"/>
            <w:hideMark/>
          </w:tcPr>
          <w:p w14:paraId="5788C9F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55,5</w:t>
            </w:r>
          </w:p>
        </w:tc>
        <w:tc>
          <w:tcPr>
            <w:tcW w:w="919" w:type="dxa"/>
            <w:tcBorders>
              <w:top w:val="nil"/>
              <w:left w:val="nil"/>
              <w:bottom w:val="nil"/>
              <w:right w:val="nil"/>
            </w:tcBorders>
            <w:shd w:val="clear" w:color="000000" w:fill="FFFFFF"/>
            <w:noWrap/>
            <w:vAlign w:val="center"/>
            <w:hideMark/>
          </w:tcPr>
          <w:p w14:paraId="35B85B06"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62,8</w:t>
            </w:r>
          </w:p>
        </w:tc>
      </w:tr>
      <w:tr w:rsidR="009C268F" w:rsidRPr="00312485" w14:paraId="11CE17C3" w14:textId="77777777" w:rsidTr="00612999">
        <w:trPr>
          <w:trHeight w:val="6"/>
        </w:trPr>
        <w:tc>
          <w:tcPr>
            <w:tcW w:w="689" w:type="dxa"/>
            <w:gridSpan w:val="2"/>
            <w:vMerge/>
            <w:tcBorders>
              <w:top w:val="nil"/>
              <w:left w:val="nil"/>
              <w:bottom w:val="nil"/>
              <w:right w:val="nil"/>
            </w:tcBorders>
            <w:vAlign w:val="center"/>
            <w:hideMark/>
          </w:tcPr>
          <w:p w14:paraId="289FF74C" w14:textId="77777777" w:rsidR="009C268F" w:rsidRPr="00312485" w:rsidRDefault="009C268F" w:rsidP="009C268F">
            <w:pPr>
              <w:ind w:firstLine="0"/>
              <w:jc w:val="left"/>
              <w:rPr>
                <w:b/>
                <w:bCs/>
                <w:color w:val="000000"/>
                <w:sz w:val="16"/>
                <w:szCs w:val="16"/>
                <w:lang w:val="ro-MD"/>
              </w:rPr>
            </w:pPr>
          </w:p>
        </w:tc>
        <w:tc>
          <w:tcPr>
            <w:tcW w:w="1701" w:type="dxa"/>
            <w:gridSpan w:val="2"/>
            <w:tcBorders>
              <w:top w:val="nil"/>
              <w:left w:val="nil"/>
              <w:bottom w:val="nil"/>
              <w:right w:val="single" w:sz="4" w:space="0" w:color="auto"/>
            </w:tcBorders>
            <w:shd w:val="clear" w:color="000000" w:fill="FFFFFF"/>
            <w:noWrap/>
            <w:vAlign w:val="bottom"/>
            <w:hideMark/>
          </w:tcPr>
          <w:p w14:paraId="1BDEF9A6" w14:textId="77777777" w:rsidR="009C268F" w:rsidRPr="00312485" w:rsidRDefault="009C268F" w:rsidP="009C268F">
            <w:pPr>
              <w:ind w:firstLine="0"/>
              <w:jc w:val="right"/>
              <w:rPr>
                <w:i/>
                <w:iCs/>
                <w:color w:val="000000"/>
                <w:sz w:val="16"/>
                <w:szCs w:val="16"/>
                <w:lang w:val="ro-MD"/>
              </w:rPr>
            </w:pPr>
            <w:r w:rsidRPr="00312485">
              <w:rPr>
                <w:i/>
                <w:iCs/>
                <w:color w:val="000000"/>
                <w:sz w:val="16"/>
                <w:szCs w:val="16"/>
                <w:lang w:val="ro-MD"/>
              </w:rPr>
              <w:t xml:space="preserve">dintre care: Planul de creștere (GP) </w:t>
            </w:r>
          </w:p>
        </w:tc>
        <w:tc>
          <w:tcPr>
            <w:tcW w:w="794" w:type="dxa"/>
            <w:tcBorders>
              <w:top w:val="nil"/>
              <w:left w:val="single" w:sz="4" w:space="0" w:color="auto"/>
              <w:bottom w:val="nil"/>
              <w:right w:val="nil"/>
            </w:tcBorders>
            <w:shd w:val="clear" w:color="000000" w:fill="FFFFFF"/>
            <w:noWrap/>
            <w:vAlign w:val="center"/>
            <w:hideMark/>
          </w:tcPr>
          <w:p w14:paraId="541C236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5686246B" w14:textId="77777777" w:rsidR="009C268F" w:rsidRPr="00312485" w:rsidRDefault="009C268F" w:rsidP="009C268F">
            <w:pPr>
              <w:ind w:firstLine="0"/>
              <w:jc w:val="right"/>
              <w:rPr>
                <w:i/>
                <w:iCs/>
                <w:color w:val="000000"/>
                <w:sz w:val="16"/>
                <w:szCs w:val="16"/>
                <w:lang w:val="ro-MD"/>
              </w:rPr>
            </w:pPr>
            <w:r w:rsidRPr="00312485">
              <w:rPr>
                <w:i/>
                <w:iCs/>
                <w:color w:val="000000"/>
                <w:sz w:val="16"/>
                <w:szCs w:val="16"/>
                <w:lang w:val="ro-MD"/>
              </w:rPr>
              <w:t>456,5</w:t>
            </w:r>
          </w:p>
        </w:tc>
        <w:tc>
          <w:tcPr>
            <w:tcW w:w="919" w:type="dxa"/>
            <w:tcBorders>
              <w:top w:val="nil"/>
              <w:left w:val="nil"/>
              <w:bottom w:val="nil"/>
              <w:right w:val="nil"/>
            </w:tcBorders>
            <w:shd w:val="clear" w:color="000000" w:fill="FFFFFF"/>
            <w:noWrap/>
            <w:vAlign w:val="center"/>
            <w:hideMark/>
          </w:tcPr>
          <w:p w14:paraId="732FF116" w14:textId="77777777" w:rsidR="009C268F" w:rsidRPr="00312485" w:rsidRDefault="009C268F" w:rsidP="009C268F">
            <w:pPr>
              <w:ind w:firstLine="0"/>
              <w:jc w:val="right"/>
              <w:rPr>
                <w:i/>
                <w:iCs/>
                <w:color w:val="000000"/>
                <w:sz w:val="16"/>
                <w:szCs w:val="16"/>
                <w:lang w:val="ro-MD"/>
              </w:rPr>
            </w:pPr>
            <w:r w:rsidRPr="00312485">
              <w:rPr>
                <w:i/>
                <w:iCs/>
                <w:color w:val="000000"/>
                <w:sz w:val="16"/>
                <w:szCs w:val="16"/>
                <w:lang w:val="ro-MD"/>
              </w:rPr>
              <w:t>2 958,2</w:t>
            </w:r>
          </w:p>
        </w:tc>
        <w:tc>
          <w:tcPr>
            <w:tcW w:w="919" w:type="dxa"/>
            <w:tcBorders>
              <w:top w:val="nil"/>
              <w:left w:val="nil"/>
              <w:bottom w:val="nil"/>
              <w:right w:val="nil"/>
            </w:tcBorders>
            <w:shd w:val="clear" w:color="000000" w:fill="FFFFFF"/>
            <w:noWrap/>
            <w:vAlign w:val="center"/>
            <w:hideMark/>
          </w:tcPr>
          <w:p w14:paraId="1140DF7E" w14:textId="77777777" w:rsidR="009C268F" w:rsidRPr="00312485" w:rsidRDefault="009C268F" w:rsidP="009C268F">
            <w:pPr>
              <w:ind w:firstLine="0"/>
              <w:jc w:val="right"/>
              <w:rPr>
                <w:i/>
                <w:iCs/>
                <w:color w:val="000000"/>
                <w:sz w:val="16"/>
                <w:szCs w:val="16"/>
                <w:lang w:val="ro-MD"/>
              </w:rPr>
            </w:pPr>
            <w:r w:rsidRPr="00312485">
              <w:rPr>
                <w:i/>
                <w:iCs/>
                <w:color w:val="000000"/>
                <w:sz w:val="16"/>
                <w:szCs w:val="16"/>
                <w:lang w:val="ro-MD"/>
              </w:rPr>
              <w:t>5 084,8</w:t>
            </w:r>
          </w:p>
        </w:tc>
        <w:tc>
          <w:tcPr>
            <w:tcW w:w="794" w:type="dxa"/>
            <w:tcBorders>
              <w:top w:val="nil"/>
              <w:left w:val="dashed" w:sz="4" w:space="0" w:color="auto"/>
              <w:bottom w:val="nil"/>
              <w:right w:val="nil"/>
            </w:tcBorders>
            <w:shd w:val="clear" w:color="000000" w:fill="FFFFFF"/>
            <w:noWrap/>
            <w:vAlign w:val="center"/>
            <w:hideMark/>
          </w:tcPr>
          <w:p w14:paraId="00CA9A0D" w14:textId="77777777" w:rsidR="009C268F" w:rsidRPr="00312485" w:rsidRDefault="009C268F" w:rsidP="009C268F">
            <w:pPr>
              <w:ind w:firstLine="0"/>
              <w:jc w:val="center"/>
              <w:rPr>
                <w:i/>
                <w:iCs/>
                <w:color w:val="000000"/>
                <w:sz w:val="16"/>
                <w:szCs w:val="16"/>
                <w:lang w:val="ro-MD"/>
              </w:rPr>
            </w:pPr>
            <w:r w:rsidRPr="00312485">
              <w:rPr>
                <w:i/>
                <w:iCs/>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77849DD1" w14:textId="77777777" w:rsidR="009C268F" w:rsidRPr="00312485" w:rsidRDefault="009C268F" w:rsidP="009C268F">
            <w:pPr>
              <w:ind w:firstLine="0"/>
              <w:jc w:val="center"/>
              <w:rPr>
                <w:i/>
                <w:iCs/>
                <w:color w:val="000000"/>
                <w:sz w:val="16"/>
                <w:szCs w:val="16"/>
                <w:lang w:val="ro-MD"/>
              </w:rPr>
            </w:pPr>
            <w:r w:rsidRPr="00312485">
              <w:rPr>
                <w:i/>
                <w:iCs/>
                <w:color w:val="000000"/>
                <w:sz w:val="16"/>
                <w:szCs w:val="16"/>
                <w:lang w:val="ro-MD"/>
              </w:rPr>
              <w:t>12,5</w:t>
            </w:r>
          </w:p>
        </w:tc>
        <w:tc>
          <w:tcPr>
            <w:tcW w:w="919" w:type="dxa"/>
            <w:tcBorders>
              <w:top w:val="nil"/>
              <w:left w:val="nil"/>
              <w:bottom w:val="nil"/>
              <w:right w:val="nil"/>
            </w:tcBorders>
            <w:shd w:val="clear" w:color="000000" w:fill="FFFFFF"/>
            <w:noWrap/>
            <w:vAlign w:val="center"/>
            <w:hideMark/>
          </w:tcPr>
          <w:p w14:paraId="35A74480" w14:textId="77777777" w:rsidR="009C268F" w:rsidRPr="00312485" w:rsidRDefault="009C268F" w:rsidP="009C268F">
            <w:pPr>
              <w:ind w:firstLine="0"/>
              <w:jc w:val="center"/>
              <w:rPr>
                <w:i/>
                <w:iCs/>
                <w:color w:val="000000"/>
                <w:sz w:val="16"/>
                <w:szCs w:val="16"/>
                <w:lang w:val="ro-MD"/>
              </w:rPr>
            </w:pPr>
            <w:r w:rsidRPr="00312485">
              <w:rPr>
                <w:i/>
                <w:iCs/>
                <w:color w:val="000000"/>
                <w:sz w:val="16"/>
                <w:szCs w:val="16"/>
                <w:lang w:val="ro-MD"/>
              </w:rPr>
              <w:t>43,4</w:t>
            </w:r>
          </w:p>
        </w:tc>
        <w:tc>
          <w:tcPr>
            <w:tcW w:w="919" w:type="dxa"/>
            <w:tcBorders>
              <w:top w:val="nil"/>
              <w:left w:val="nil"/>
              <w:bottom w:val="nil"/>
              <w:right w:val="nil"/>
            </w:tcBorders>
            <w:shd w:val="clear" w:color="000000" w:fill="FFFFFF"/>
            <w:noWrap/>
            <w:vAlign w:val="center"/>
            <w:hideMark/>
          </w:tcPr>
          <w:p w14:paraId="6CFBC554" w14:textId="77777777" w:rsidR="009C268F" w:rsidRPr="00312485" w:rsidRDefault="009C268F" w:rsidP="009C268F">
            <w:pPr>
              <w:ind w:firstLine="0"/>
              <w:jc w:val="center"/>
              <w:rPr>
                <w:i/>
                <w:iCs/>
                <w:color w:val="000000"/>
                <w:sz w:val="16"/>
                <w:szCs w:val="16"/>
                <w:lang w:val="ro-MD"/>
              </w:rPr>
            </w:pPr>
            <w:r w:rsidRPr="00312485">
              <w:rPr>
                <w:i/>
                <w:iCs/>
                <w:color w:val="000000"/>
                <w:sz w:val="16"/>
                <w:szCs w:val="16"/>
                <w:lang w:val="ro-MD"/>
              </w:rPr>
              <w:t>54,6</w:t>
            </w:r>
          </w:p>
        </w:tc>
      </w:tr>
      <w:tr w:rsidR="009C268F" w:rsidRPr="00312485" w14:paraId="3FCA3AC4" w14:textId="77777777" w:rsidTr="00612999">
        <w:trPr>
          <w:trHeight w:val="529"/>
        </w:trPr>
        <w:tc>
          <w:tcPr>
            <w:tcW w:w="689" w:type="dxa"/>
            <w:gridSpan w:val="2"/>
            <w:vMerge/>
            <w:tcBorders>
              <w:top w:val="nil"/>
              <w:left w:val="nil"/>
              <w:bottom w:val="nil"/>
              <w:right w:val="nil"/>
            </w:tcBorders>
            <w:vAlign w:val="center"/>
            <w:hideMark/>
          </w:tcPr>
          <w:p w14:paraId="2A724B37" w14:textId="77777777" w:rsidR="009C268F" w:rsidRPr="00312485" w:rsidRDefault="009C268F" w:rsidP="009C268F">
            <w:pPr>
              <w:ind w:firstLine="0"/>
              <w:jc w:val="left"/>
              <w:rPr>
                <w:b/>
                <w:bCs/>
                <w:color w:val="000000"/>
                <w:sz w:val="16"/>
                <w:szCs w:val="16"/>
                <w:lang w:val="ro-MD"/>
              </w:rPr>
            </w:pPr>
          </w:p>
        </w:tc>
        <w:tc>
          <w:tcPr>
            <w:tcW w:w="1701" w:type="dxa"/>
            <w:gridSpan w:val="2"/>
            <w:tcBorders>
              <w:top w:val="nil"/>
              <w:left w:val="nil"/>
              <w:bottom w:val="nil"/>
              <w:right w:val="single" w:sz="4" w:space="0" w:color="auto"/>
            </w:tcBorders>
            <w:shd w:val="clear" w:color="000000" w:fill="FFFFFF"/>
            <w:noWrap/>
            <w:vAlign w:val="center"/>
            <w:hideMark/>
          </w:tcPr>
          <w:p w14:paraId="7DBC395F"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Proiecte finanțate din surse externe (PFSE)</w:t>
            </w:r>
          </w:p>
        </w:tc>
        <w:tc>
          <w:tcPr>
            <w:tcW w:w="794" w:type="dxa"/>
            <w:tcBorders>
              <w:top w:val="nil"/>
              <w:left w:val="single" w:sz="4" w:space="0" w:color="auto"/>
              <w:bottom w:val="nil"/>
              <w:right w:val="nil"/>
            </w:tcBorders>
            <w:shd w:val="clear" w:color="000000" w:fill="FFFFFF"/>
            <w:noWrap/>
            <w:vAlign w:val="center"/>
            <w:hideMark/>
          </w:tcPr>
          <w:p w14:paraId="38F1DAC9"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1 798,7</w:t>
            </w:r>
          </w:p>
        </w:tc>
        <w:tc>
          <w:tcPr>
            <w:tcW w:w="919" w:type="dxa"/>
            <w:tcBorders>
              <w:top w:val="nil"/>
              <w:left w:val="nil"/>
              <w:bottom w:val="nil"/>
              <w:right w:val="nil"/>
            </w:tcBorders>
            <w:shd w:val="clear" w:color="000000" w:fill="FFFFFF"/>
            <w:noWrap/>
            <w:vAlign w:val="center"/>
            <w:hideMark/>
          </w:tcPr>
          <w:p w14:paraId="316332CD"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2 368,9</w:t>
            </w:r>
          </w:p>
        </w:tc>
        <w:tc>
          <w:tcPr>
            <w:tcW w:w="919" w:type="dxa"/>
            <w:tcBorders>
              <w:top w:val="nil"/>
              <w:left w:val="nil"/>
              <w:bottom w:val="nil"/>
              <w:right w:val="nil"/>
            </w:tcBorders>
            <w:shd w:val="clear" w:color="000000" w:fill="FFFFFF"/>
            <w:noWrap/>
            <w:vAlign w:val="center"/>
            <w:hideMark/>
          </w:tcPr>
          <w:p w14:paraId="45A0BDE3"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3 037,0</w:t>
            </w:r>
          </w:p>
        </w:tc>
        <w:tc>
          <w:tcPr>
            <w:tcW w:w="919" w:type="dxa"/>
            <w:tcBorders>
              <w:top w:val="nil"/>
              <w:left w:val="nil"/>
              <w:bottom w:val="nil"/>
              <w:right w:val="nil"/>
            </w:tcBorders>
            <w:shd w:val="clear" w:color="000000" w:fill="FFFFFF"/>
            <w:noWrap/>
            <w:vAlign w:val="center"/>
            <w:hideMark/>
          </w:tcPr>
          <w:p w14:paraId="42A17805"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3 464,2</w:t>
            </w:r>
          </w:p>
        </w:tc>
        <w:tc>
          <w:tcPr>
            <w:tcW w:w="794" w:type="dxa"/>
            <w:tcBorders>
              <w:top w:val="nil"/>
              <w:left w:val="dashed" w:sz="4" w:space="0" w:color="auto"/>
              <w:bottom w:val="nil"/>
              <w:right w:val="nil"/>
            </w:tcBorders>
            <w:shd w:val="clear" w:color="000000" w:fill="FFFFFF"/>
            <w:noWrap/>
            <w:vAlign w:val="center"/>
            <w:hideMark/>
          </w:tcPr>
          <w:p w14:paraId="4786276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81,4</w:t>
            </w:r>
          </w:p>
        </w:tc>
        <w:tc>
          <w:tcPr>
            <w:tcW w:w="919" w:type="dxa"/>
            <w:tcBorders>
              <w:top w:val="nil"/>
              <w:left w:val="nil"/>
              <w:bottom w:val="nil"/>
              <w:right w:val="nil"/>
            </w:tcBorders>
            <w:shd w:val="clear" w:color="000000" w:fill="FFFFFF"/>
            <w:noWrap/>
            <w:vAlign w:val="center"/>
            <w:hideMark/>
          </w:tcPr>
          <w:p w14:paraId="00A1FD6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65,1</w:t>
            </w:r>
          </w:p>
        </w:tc>
        <w:tc>
          <w:tcPr>
            <w:tcW w:w="919" w:type="dxa"/>
            <w:tcBorders>
              <w:top w:val="nil"/>
              <w:left w:val="nil"/>
              <w:bottom w:val="nil"/>
              <w:right w:val="nil"/>
            </w:tcBorders>
            <w:shd w:val="clear" w:color="000000" w:fill="FFFFFF"/>
            <w:noWrap/>
            <w:vAlign w:val="center"/>
            <w:hideMark/>
          </w:tcPr>
          <w:p w14:paraId="6183E6C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44,5</w:t>
            </w:r>
          </w:p>
        </w:tc>
        <w:tc>
          <w:tcPr>
            <w:tcW w:w="919" w:type="dxa"/>
            <w:tcBorders>
              <w:top w:val="nil"/>
              <w:left w:val="nil"/>
              <w:bottom w:val="nil"/>
              <w:right w:val="nil"/>
            </w:tcBorders>
            <w:shd w:val="clear" w:color="000000" w:fill="FFFFFF"/>
            <w:noWrap/>
            <w:vAlign w:val="center"/>
            <w:hideMark/>
          </w:tcPr>
          <w:p w14:paraId="1C38881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37,2</w:t>
            </w:r>
          </w:p>
        </w:tc>
      </w:tr>
      <w:tr w:rsidR="009C268F" w:rsidRPr="00312485" w14:paraId="3C561860" w14:textId="77777777" w:rsidTr="00612999">
        <w:trPr>
          <w:trHeight w:val="10"/>
        </w:trPr>
        <w:tc>
          <w:tcPr>
            <w:tcW w:w="2390"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4C3D4B91" w14:textId="25E696BD" w:rsidR="009C268F" w:rsidRPr="00312485" w:rsidRDefault="004B5481" w:rsidP="009C268F">
            <w:pPr>
              <w:ind w:firstLineChars="300" w:firstLine="480"/>
              <w:jc w:val="left"/>
              <w:rPr>
                <w:b/>
                <w:bCs/>
                <w:color w:val="000000"/>
                <w:sz w:val="16"/>
                <w:szCs w:val="16"/>
                <w:lang w:val="ro-MD"/>
              </w:rPr>
            </w:pPr>
            <w:r w:rsidRPr="00312485">
              <w:rPr>
                <w:b/>
                <w:bCs/>
                <w:color w:val="000000"/>
                <w:sz w:val="16"/>
                <w:szCs w:val="16"/>
                <w:lang w:val="ro-MD"/>
              </w:rPr>
              <w:t>Total</w:t>
            </w:r>
            <w:r w:rsidR="009C268F" w:rsidRPr="00312485">
              <w:rPr>
                <w:b/>
                <w:bCs/>
                <w:color w:val="000000"/>
                <w:sz w:val="16"/>
                <w:szCs w:val="16"/>
                <w:lang w:val="ro-MD"/>
              </w:rPr>
              <w:t xml:space="preserve"> bugetul de stat</w:t>
            </w:r>
          </w:p>
        </w:tc>
        <w:tc>
          <w:tcPr>
            <w:tcW w:w="794" w:type="dxa"/>
            <w:tcBorders>
              <w:top w:val="single" w:sz="4" w:space="0" w:color="auto"/>
              <w:left w:val="single" w:sz="4" w:space="0" w:color="auto"/>
              <w:bottom w:val="single" w:sz="4" w:space="0" w:color="auto"/>
              <w:right w:val="nil"/>
            </w:tcBorders>
            <w:shd w:val="clear" w:color="000000" w:fill="FFFFFF"/>
            <w:noWrap/>
            <w:vAlign w:val="center"/>
            <w:hideMark/>
          </w:tcPr>
          <w:p w14:paraId="6688D5C3"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2 208,4</w:t>
            </w:r>
          </w:p>
        </w:tc>
        <w:tc>
          <w:tcPr>
            <w:tcW w:w="919" w:type="dxa"/>
            <w:tcBorders>
              <w:top w:val="single" w:sz="4" w:space="0" w:color="auto"/>
              <w:left w:val="nil"/>
              <w:bottom w:val="single" w:sz="4" w:space="0" w:color="auto"/>
              <w:right w:val="nil"/>
            </w:tcBorders>
            <w:shd w:val="clear" w:color="000000" w:fill="FFFFFF"/>
            <w:noWrap/>
            <w:vAlign w:val="center"/>
            <w:hideMark/>
          </w:tcPr>
          <w:p w14:paraId="2A7D7CBF"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3 638,5</w:t>
            </w:r>
          </w:p>
        </w:tc>
        <w:tc>
          <w:tcPr>
            <w:tcW w:w="919" w:type="dxa"/>
            <w:tcBorders>
              <w:top w:val="single" w:sz="4" w:space="0" w:color="auto"/>
              <w:left w:val="nil"/>
              <w:bottom w:val="single" w:sz="4" w:space="0" w:color="auto"/>
              <w:right w:val="nil"/>
            </w:tcBorders>
            <w:shd w:val="clear" w:color="000000" w:fill="FFFFFF"/>
            <w:noWrap/>
            <w:vAlign w:val="center"/>
            <w:hideMark/>
          </w:tcPr>
          <w:p w14:paraId="2B277C3C"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6 823,9</w:t>
            </w:r>
          </w:p>
        </w:tc>
        <w:tc>
          <w:tcPr>
            <w:tcW w:w="919" w:type="dxa"/>
            <w:tcBorders>
              <w:top w:val="single" w:sz="4" w:space="0" w:color="auto"/>
              <w:left w:val="nil"/>
              <w:bottom w:val="single" w:sz="4" w:space="0" w:color="auto"/>
              <w:right w:val="nil"/>
            </w:tcBorders>
            <w:shd w:val="clear" w:color="000000" w:fill="FFFFFF"/>
            <w:noWrap/>
            <w:vAlign w:val="center"/>
            <w:hideMark/>
          </w:tcPr>
          <w:p w14:paraId="24D5E343" w14:textId="77777777" w:rsidR="009C268F" w:rsidRPr="00312485" w:rsidRDefault="009C268F" w:rsidP="009C268F">
            <w:pPr>
              <w:ind w:firstLine="0"/>
              <w:jc w:val="right"/>
              <w:rPr>
                <w:b/>
                <w:bCs/>
                <w:color w:val="000000"/>
                <w:sz w:val="16"/>
                <w:szCs w:val="16"/>
                <w:lang w:val="ro-MD"/>
              </w:rPr>
            </w:pPr>
            <w:r w:rsidRPr="00312485">
              <w:rPr>
                <w:b/>
                <w:bCs/>
                <w:color w:val="000000"/>
                <w:sz w:val="16"/>
                <w:szCs w:val="16"/>
                <w:lang w:val="ro-MD"/>
              </w:rPr>
              <w:t>9 304,5</w:t>
            </w:r>
          </w:p>
        </w:tc>
        <w:tc>
          <w:tcPr>
            <w:tcW w:w="794" w:type="dxa"/>
            <w:tcBorders>
              <w:top w:val="single" w:sz="4" w:space="0" w:color="auto"/>
              <w:left w:val="dashed" w:sz="4" w:space="0" w:color="auto"/>
              <w:bottom w:val="single" w:sz="4" w:space="0" w:color="auto"/>
              <w:right w:val="nil"/>
            </w:tcBorders>
            <w:shd w:val="clear" w:color="000000" w:fill="FFFFFF"/>
            <w:noWrap/>
            <w:vAlign w:val="center"/>
            <w:hideMark/>
          </w:tcPr>
          <w:p w14:paraId="3C7C5689"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single" w:sz="4" w:space="0" w:color="auto"/>
              <w:left w:val="nil"/>
              <w:bottom w:val="single" w:sz="4" w:space="0" w:color="auto"/>
              <w:right w:val="nil"/>
            </w:tcBorders>
            <w:shd w:val="clear" w:color="000000" w:fill="FFFFFF"/>
            <w:noWrap/>
            <w:vAlign w:val="center"/>
            <w:hideMark/>
          </w:tcPr>
          <w:p w14:paraId="09108D68"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single" w:sz="4" w:space="0" w:color="auto"/>
              <w:left w:val="nil"/>
              <w:bottom w:val="single" w:sz="4" w:space="0" w:color="auto"/>
              <w:right w:val="nil"/>
            </w:tcBorders>
            <w:shd w:val="clear" w:color="000000" w:fill="FFFFFF"/>
            <w:noWrap/>
            <w:vAlign w:val="center"/>
            <w:hideMark/>
          </w:tcPr>
          <w:p w14:paraId="5B0D74C5"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c>
          <w:tcPr>
            <w:tcW w:w="919" w:type="dxa"/>
            <w:tcBorders>
              <w:top w:val="single" w:sz="4" w:space="0" w:color="auto"/>
              <w:left w:val="nil"/>
              <w:bottom w:val="single" w:sz="4" w:space="0" w:color="auto"/>
              <w:right w:val="nil"/>
            </w:tcBorders>
            <w:shd w:val="clear" w:color="000000" w:fill="FFFFFF"/>
            <w:noWrap/>
            <w:vAlign w:val="center"/>
            <w:hideMark/>
          </w:tcPr>
          <w:p w14:paraId="2E4586EE"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100,0</w:t>
            </w:r>
          </w:p>
        </w:tc>
      </w:tr>
      <w:tr w:rsidR="009C268F" w:rsidRPr="00312485" w14:paraId="38F2520F" w14:textId="77777777" w:rsidTr="00612999">
        <w:trPr>
          <w:trHeight w:val="10"/>
        </w:trPr>
        <w:tc>
          <w:tcPr>
            <w:tcW w:w="406" w:type="dxa"/>
            <w:vMerge w:val="restart"/>
            <w:tcBorders>
              <w:top w:val="nil"/>
              <w:left w:val="nil"/>
              <w:bottom w:val="nil"/>
              <w:right w:val="nil"/>
            </w:tcBorders>
            <w:shd w:val="clear" w:color="000000" w:fill="FFFFFF"/>
            <w:noWrap/>
            <w:textDirection w:val="btLr"/>
            <w:vAlign w:val="center"/>
            <w:hideMark/>
          </w:tcPr>
          <w:p w14:paraId="4DF1F264"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Grupa principală</w:t>
            </w:r>
          </w:p>
        </w:tc>
        <w:tc>
          <w:tcPr>
            <w:tcW w:w="498" w:type="dxa"/>
            <w:gridSpan w:val="2"/>
            <w:tcBorders>
              <w:top w:val="nil"/>
              <w:left w:val="nil"/>
              <w:bottom w:val="nil"/>
              <w:right w:val="nil"/>
            </w:tcBorders>
            <w:shd w:val="clear" w:color="000000" w:fill="FFFFFF"/>
            <w:noWrap/>
            <w:vAlign w:val="center"/>
            <w:hideMark/>
          </w:tcPr>
          <w:p w14:paraId="55ECC629"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01</w:t>
            </w:r>
          </w:p>
        </w:tc>
        <w:tc>
          <w:tcPr>
            <w:tcW w:w="1486" w:type="dxa"/>
            <w:tcBorders>
              <w:top w:val="nil"/>
              <w:left w:val="nil"/>
              <w:bottom w:val="nil"/>
              <w:right w:val="single" w:sz="4" w:space="0" w:color="auto"/>
            </w:tcBorders>
            <w:shd w:val="clear" w:color="000000" w:fill="FFFFFF"/>
            <w:vAlign w:val="center"/>
            <w:hideMark/>
          </w:tcPr>
          <w:p w14:paraId="777AF8F2"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xml:space="preserve">Servicii de stat cu destinație generală </w:t>
            </w:r>
          </w:p>
        </w:tc>
        <w:tc>
          <w:tcPr>
            <w:tcW w:w="794" w:type="dxa"/>
            <w:tcBorders>
              <w:top w:val="nil"/>
              <w:left w:val="single" w:sz="4" w:space="0" w:color="auto"/>
              <w:bottom w:val="nil"/>
              <w:right w:val="nil"/>
            </w:tcBorders>
            <w:shd w:val="clear" w:color="000000" w:fill="FFFFFF"/>
            <w:noWrap/>
            <w:vAlign w:val="center"/>
            <w:hideMark/>
          </w:tcPr>
          <w:p w14:paraId="43AD44E4"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213,5</w:t>
            </w:r>
          </w:p>
        </w:tc>
        <w:tc>
          <w:tcPr>
            <w:tcW w:w="919" w:type="dxa"/>
            <w:tcBorders>
              <w:top w:val="nil"/>
              <w:left w:val="nil"/>
              <w:bottom w:val="nil"/>
              <w:right w:val="nil"/>
            </w:tcBorders>
            <w:shd w:val="clear" w:color="000000" w:fill="FFFFFF"/>
            <w:noWrap/>
            <w:vAlign w:val="center"/>
            <w:hideMark/>
          </w:tcPr>
          <w:p w14:paraId="6938A4BC"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191,9</w:t>
            </w:r>
          </w:p>
        </w:tc>
        <w:tc>
          <w:tcPr>
            <w:tcW w:w="919" w:type="dxa"/>
            <w:tcBorders>
              <w:top w:val="nil"/>
              <w:left w:val="nil"/>
              <w:bottom w:val="nil"/>
              <w:right w:val="nil"/>
            </w:tcBorders>
            <w:shd w:val="clear" w:color="000000" w:fill="FFFFFF"/>
            <w:noWrap/>
            <w:vAlign w:val="center"/>
            <w:hideMark/>
          </w:tcPr>
          <w:p w14:paraId="3D14AC32"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94,9</w:t>
            </w:r>
          </w:p>
        </w:tc>
        <w:tc>
          <w:tcPr>
            <w:tcW w:w="919" w:type="dxa"/>
            <w:tcBorders>
              <w:top w:val="nil"/>
              <w:left w:val="nil"/>
              <w:bottom w:val="nil"/>
              <w:right w:val="nil"/>
            </w:tcBorders>
            <w:shd w:val="clear" w:color="000000" w:fill="FFFFFF"/>
            <w:noWrap/>
            <w:vAlign w:val="center"/>
            <w:hideMark/>
          </w:tcPr>
          <w:p w14:paraId="5D1EC338"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794" w:type="dxa"/>
            <w:tcBorders>
              <w:top w:val="nil"/>
              <w:left w:val="dashed" w:sz="4" w:space="0" w:color="auto"/>
              <w:bottom w:val="nil"/>
              <w:right w:val="nil"/>
            </w:tcBorders>
            <w:shd w:val="clear" w:color="000000" w:fill="FFFFFF"/>
            <w:noWrap/>
            <w:vAlign w:val="center"/>
            <w:hideMark/>
          </w:tcPr>
          <w:p w14:paraId="0034190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9,7</w:t>
            </w:r>
          </w:p>
        </w:tc>
        <w:tc>
          <w:tcPr>
            <w:tcW w:w="919" w:type="dxa"/>
            <w:tcBorders>
              <w:top w:val="nil"/>
              <w:left w:val="nil"/>
              <w:bottom w:val="nil"/>
              <w:right w:val="nil"/>
            </w:tcBorders>
            <w:shd w:val="clear" w:color="000000" w:fill="FFFFFF"/>
            <w:noWrap/>
            <w:vAlign w:val="center"/>
            <w:hideMark/>
          </w:tcPr>
          <w:p w14:paraId="69B01726"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5,3</w:t>
            </w:r>
          </w:p>
        </w:tc>
        <w:tc>
          <w:tcPr>
            <w:tcW w:w="919" w:type="dxa"/>
            <w:tcBorders>
              <w:top w:val="nil"/>
              <w:left w:val="nil"/>
              <w:bottom w:val="nil"/>
              <w:right w:val="nil"/>
            </w:tcBorders>
            <w:shd w:val="clear" w:color="000000" w:fill="FFFFFF"/>
            <w:noWrap/>
            <w:vAlign w:val="center"/>
            <w:hideMark/>
          </w:tcPr>
          <w:p w14:paraId="2374FA3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1,4</w:t>
            </w:r>
          </w:p>
        </w:tc>
        <w:tc>
          <w:tcPr>
            <w:tcW w:w="919" w:type="dxa"/>
            <w:tcBorders>
              <w:top w:val="nil"/>
              <w:left w:val="nil"/>
              <w:bottom w:val="nil"/>
              <w:right w:val="nil"/>
            </w:tcBorders>
            <w:shd w:val="clear" w:color="000000" w:fill="FFFFFF"/>
            <w:noWrap/>
            <w:vAlign w:val="center"/>
            <w:hideMark/>
          </w:tcPr>
          <w:p w14:paraId="59AF663F"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r>
      <w:tr w:rsidR="009C268F" w:rsidRPr="00312485" w14:paraId="1A948408" w14:textId="77777777" w:rsidTr="00612999">
        <w:trPr>
          <w:trHeight w:val="10"/>
        </w:trPr>
        <w:tc>
          <w:tcPr>
            <w:tcW w:w="406" w:type="dxa"/>
            <w:vMerge/>
            <w:tcBorders>
              <w:top w:val="nil"/>
              <w:left w:val="nil"/>
              <w:bottom w:val="nil"/>
              <w:right w:val="nil"/>
            </w:tcBorders>
            <w:vAlign w:val="center"/>
            <w:hideMark/>
          </w:tcPr>
          <w:p w14:paraId="4342D4C1"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75E8B8A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02</w:t>
            </w:r>
          </w:p>
        </w:tc>
        <w:tc>
          <w:tcPr>
            <w:tcW w:w="1486" w:type="dxa"/>
            <w:tcBorders>
              <w:top w:val="nil"/>
              <w:left w:val="nil"/>
              <w:bottom w:val="nil"/>
              <w:right w:val="single" w:sz="4" w:space="0" w:color="auto"/>
            </w:tcBorders>
            <w:shd w:val="clear" w:color="000000" w:fill="FFFFFF"/>
            <w:vAlign w:val="center"/>
            <w:hideMark/>
          </w:tcPr>
          <w:p w14:paraId="7C00652F"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Apărarea națională</w:t>
            </w:r>
          </w:p>
        </w:tc>
        <w:tc>
          <w:tcPr>
            <w:tcW w:w="794" w:type="dxa"/>
            <w:tcBorders>
              <w:top w:val="nil"/>
              <w:left w:val="single" w:sz="4" w:space="0" w:color="auto"/>
              <w:bottom w:val="nil"/>
              <w:right w:val="nil"/>
            </w:tcBorders>
            <w:shd w:val="clear" w:color="000000" w:fill="FFFFFF"/>
            <w:noWrap/>
            <w:vAlign w:val="center"/>
            <w:hideMark/>
          </w:tcPr>
          <w:p w14:paraId="3636B4C9"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200,0</w:t>
            </w:r>
          </w:p>
        </w:tc>
        <w:tc>
          <w:tcPr>
            <w:tcW w:w="919" w:type="dxa"/>
            <w:tcBorders>
              <w:top w:val="nil"/>
              <w:left w:val="nil"/>
              <w:bottom w:val="nil"/>
              <w:right w:val="nil"/>
            </w:tcBorders>
            <w:shd w:val="clear" w:color="000000" w:fill="FFFFFF"/>
            <w:noWrap/>
            <w:vAlign w:val="center"/>
            <w:hideMark/>
          </w:tcPr>
          <w:p w14:paraId="6BC24E78"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250,0</w:t>
            </w:r>
          </w:p>
        </w:tc>
        <w:tc>
          <w:tcPr>
            <w:tcW w:w="919" w:type="dxa"/>
            <w:tcBorders>
              <w:top w:val="nil"/>
              <w:left w:val="nil"/>
              <w:bottom w:val="nil"/>
              <w:right w:val="nil"/>
            </w:tcBorders>
            <w:shd w:val="clear" w:color="000000" w:fill="FFFFFF"/>
            <w:noWrap/>
            <w:vAlign w:val="center"/>
            <w:hideMark/>
          </w:tcPr>
          <w:p w14:paraId="18494E6D"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250,0</w:t>
            </w:r>
          </w:p>
        </w:tc>
        <w:tc>
          <w:tcPr>
            <w:tcW w:w="919" w:type="dxa"/>
            <w:tcBorders>
              <w:top w:val="nil"/>
              <w:left w:val="nil"/>
              <w:bottom w:val="nil"/>
              <w:right w:val="nil"/>
            </w:tcBorders>
            <w:shd w:val="clear" w:color="000000" w:fill="FFFFFF"/>
            <w:noWrap/>
            <w:vAlign w:val="center"/>
            <w:hideMark/>
          </w:tcPr>
          <w:p w14:paraId="4F5276C0"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250,0</w:t>
            </w:r>
          </w:p>
        </w:tc>
        <w:tc>
          <w:tcPr>
            <w:tcW w:w="794" w:type="dxa"/>
            <w:tcBorders>
              <w:top w:val="nil"/>
              <w:left w:val="dashed" w:sz="4" w:space="0" w:color="auto"/>
              <w:bottom w:val="nil"/>
              <w:right w:val="nil"/>
            </w:tcBorders>
            <w:shd w:val="clear" w:color="000000" w:fill="FFFFFF"/>
            <w:noWrap/>
            <w:vAlign w:val="center"/>
            <w:hideMark/>
          </w:tcPr>
          <w:p w14:paraId="29A284B5"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9,1</w:t>
            </w:r>
          </w:p>
        </w:tc>
        <w:tc>
          <w:tcPr>
            <w:tcW w:w="919" w:type="dxa"/>
            <w:tcBorders>
              <w:top w:val="nil"/>
              <w:left w:val="nil"/>
              <w:bottom w:val="nil"/>
              <w:right w:val="nil"/>
            </w:tcBorders>
            <w:shd w:val="clear" w:color="000000" w:fill="FFFFFF"/>
            <w:noWrap/>
            <w:vAlign w:val="center"/>
            <w:hideMark/>
          </w:tcPr>
          <w:p w14:paraId="5AC9EF3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6,9</w:t>
            </w:r>
          </w:p>
        </w:tc>
        <w:tc>
          <w:tcPr>
            <w:tcW w:w="919" w:type="dxa"/>
            <w:tcBorders>
              <w:top w:val="nil"/>
              <w:left w:val="nil"/>
              <w:bottom w:val="nil"/>
              <w:right w:val="nil"/>
            </w:tcBorders>
            <w:shd w:val="clear" w:color="000000" w:fill="FFFFFF"/>
            <w:noWrap/>
            <w:vAlign w:val="center"/>
            <w:hideMark/>
          </w:tcPr>
          <w:p w14:paraId="0FEBEF0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3,7</w:t>
            </w:r>
          </w:p>
        </w:tc>
        <w:tc>
          <w:tcPr>
            <w:tcW w:w="919" w:type="dxa"/>
            <w:tcBorders>
              <w:top w:val="nil"/>
              <w:left w:val="nil"/>
              <w:bottom w:val="nil"/>
              <w:right w:val="nil"/>
            </w:tcBorders>
            <w:shd w:val="clear" w:color="000000" w:fill="FFFFFF"/>
            <w:noWrap/>
            <w:vAlign w:val="center"/>
            <w:hideMark/>
          </w:tcPr>
          <w:p w14:paraId="693E6ACF"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2,7</w:t>
            </w:r>
          </w:p>
        </w:tc>
      </w:tr>
      <w:tr w:rsidR="009C268F" w:rsidRPr="00312485" w14:paraId="6F1BDDFC" w14:textId="77777777" w:rsidTr="00612999">
        <w:trPr>
          <w:trHeight w:val="10"/>
        </w:trPr>
        <w:tc>
          <w:tcPr>
            <w:tcW w:w="406" w:type="dxa"/>
            <w:vMerge/>
            <w:tcBorders>
              <w:top w:val="nil"/>
              <w:left w:val="nil"/>
              <w:bottom w:val="nil"/>
              <w:right w:val="nil"/>
            </w:tcBorders>
            <w:vAlign w:val="center"/>
            <w:hideMark/>
          </w:tcPr>
          <w:p w14:paraId="4E99F1E9"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02E24AA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03</w:t>
            </w:r>
          </w:p>
        </w:tc>
        <w:tc>
          <w:tcPr>
            <w:tcW w:w="1486" w:type="dxa"/>
            <w:tcBorders>
              <w:top w:val="nil"/>
              <w:left w:val="nil"/>
              <w:bottom w:val="nil"/>
              <w:right w:val="single" w:sz="4" w:space="0" w:color="auto"/>
            </w:tcBorders>
            <w:shd w:val="clear" w:color="000000" w:fill="FFFFFF"/>
            <w:vAlign w:val="center"/>
            <w:hideMark/>
          </w:tcPr>
          <w:p w14:paraId="3E573F7D"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xml:space="preserve">Ordine publică și securitate națională </w:t>
            </w:r>
          </w:p>
        </w:tc>
        <w:tc>
          <w:tcPr>
            <w:tcW w:w="794" w:type="dxa"/>
            <w:tcBorders>
              <w:top w:val="nil"/>
              <w:left w:val="single" w:sz="4" w:space="0" w:color="auto"/>
              <w:bottom w:val="nil"/>
              <w:right w:val="nil"/>
            </w:tcBorders>
            <w:shd w:val="clear" w:color="000000" w:fill="FFFFFF"/>
            <w:noWrap/>
            <w:vAlign w:val="center"/>
            <w:hideMark/>
          </w:tcPr>
          <w:p w14:paraId="342B6F30"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180,3</w:t>
            </w:r>
          </w:p>
        </w:tc>
        <w:tc>
          <w:tcPr>
            <w:tcW w:w="919" w:type="dxa"/>
            <w:tcBorders>
              <w:top w:val="nil"/>
              <w:left w:val="nil"/>
              <w:bottom w:val="nil"/>
              <w:right w:val="nil"/>
            </w:tcBorders>
            <w:shd w:val="clear" w:color="000000" w:fill="FFFFFF"/>
            <w:noWrap/>
            <w:vAlign w:val="center"/>
            <w:hideMark/>
          </w:tcPr>
          <w:p w14:paraId="01554794"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842,6</w:t>
            </w:r>
          </w:p>
        </w:tc>
        <w:tc>
          <w:tcPr>
            <w:tcW w:w="919" w:type="dxa"/>
            <w:tcBorders>
              <w:top w:val="nil"/>
              <w:left w:val="nil"/>
              <w:bottom w:val="nil"/>
              <w:right w:val="nil"/>
            </w:tcBorders>
            <w:shd w:val="clear" w:color="000000" w:fill="FFFFFF"/>
            <w:noWrap/>
            <w:vAlign w:val="center"/>
            <w:hideMark/>
          </w:tcPr>
          <w:p w14:paraId="3FA7A2A7"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880,9</w:t>
            </w:r>
          </w:p>
        </w:tc>
        <w:tc>
          <w:tcPr>
            <w:tcW w:w="919" w:type="dxa"/>
            <w:tcBorders>
              <w:top w:val="nil"/>
              <w:left w:val="nil"/>
              <w:bottom w:val="nil"/>
              <w:right w:val="nil"/>
            </w:tcBorders>
            <w:shd w:val="clear" w:color="000000" w:fill="FFFFFF"/>
            <w:noWrap/>
            <w:vAlign w:val="center"/>
            <w:hideMark/>
          </w:tcPr>
          <w:p w14:paraId="1D17A8C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787,9</w:t>
            </w:r>
          </w:p>
        </w:tc>
        <w:tc>
          <w:tcPr>
            <w:tcW w:w="794" w:type="dxa"/>
            <w:tcBorders>
              <w:top w:val="nil"/>
              <w:left w:val="dashed" w:sz="4" w:space="0" w:color="auto"/>
              <w:bottom w:val="nil"/>
              <w:right w:val="nil"/>
            </w:tcBorders>
            <w:shd w:val="clear" w:color="000000" w:fill="FFFFFF"/>
            <w:noWrap/>
            <w:vAlign w:val="center"/>
            <w:hideMark/>
          </w:tcPr>
          <w:p w14:paraId="2FB1A90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8,2</w:t>
            </w:r>
          </w:p>
        </w:tc>
        <w:tc>
          <w:tcPr>
            <w:tcW w:w="919" w:type="dxa"/>
            <w:tcBorders>
              <w:top w:val="nil"/>
              <w:left w:val="nil"/>
              <w:bottom w:val="nil"/>
              <w:right w:val="nil"/>
            </w:tcBorders>
            <w:shd w:val="clear" w:color="000000" w:fill="FFFFFF"/>
            <w:noWrap/>
            <w:vAlign w:val="center"/>
            <w:hideMark/>
          </w:tcPr>
          <w:p w14:paraId="4DADBB1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23,2</w:t>
            </w:r>
          </w:p>
        </w:tc>
        <w:tc>
          <w:tcPr>
            <w:tcW w:w="919" w:type="dxa"/>
            <w:tcBorders>
              <w:top w:val="nil"/>
              <w:left w:val="nil"/>
              <w:bottom w:val="nil"/>
              <w:right w:val="nil"/>
            </w:tcBorders>
            <w:shd w:val="clear" w:color="000000" w:fill="FFFFFF"/>
            <w:noWrap/>
            <w:vAlign w:val="center"/>
            <w:hideMark/>
          </w:tcPr>
          <w:p w14:paraId="1CEE795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12,9</w:t>
            </w:r>
          </w:p>
        </w:tc>
        <w:tc>
          <w:tcPr>
            <w:tcW w:w="919" w:type="dxa"/>
            <w:tcBorders>
              <w:top w:val="nil"/>
              <w:left w:val="nil"/>
              <w:bottom w:val="nil"/>
              <w:right w:val="nil"/>
            </w:tcBorders>
            <w:shd w:val="clear" w:color="000000" w:fill="FFFFFF"/>
            <w:noWrap/>
            <w:vAlign w:val="center"/>
            <w:hideMark/>
          </w:tcPr>
          <w:p w14:paraId="03B26D68"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8,5</w:t>
            </w:r>
          </w:p>
        </w:tc>
      </w:tr>
      <w:tr w:rsidR="009C268F" w:rsidRPr="00312485" w14:paraId="1CF7A61A" w14:textId="77777777" w:rsidTr="00612999">
        <w:trPr>
          <w:trHeight w:val="10"/>
        </w:trPr>
        <w:tc>
          <w:tcPr>
            <w:tcW w:w="406" w:type="dxa"/>
            <w:vMerge/>
            <w:tcBorders>
              <w:top w:val="nil"/>
              <w:left w:val="nil"/>
              <w:bottom w:val="nil"/>
              <w:right w:val="nil"/>
            </w:tcBorders>
            <w:vAlign w:val="center"/>
            <w:hideMark/>
          </w:tcPr>
          <w:p w14:paraId="1B1FF706"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34545901"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04</w:t>
            </w:r>
          </w:p>
        </w:tc>
        <w:tc>
          <w:tcPr>
            <w:tcW w:w="1486" w:type="dxa"/>
            <w:tcBorders>
              <w:top w:val="nil"/>
              <w:left w:val="nil"/>
              <w:bottom w:val="nil"/>
              <w:right w:val="single" w:sz="4" w:space="0" w:color="auto"/>
            </w:tcBorders>
            <w:shd w:val="clear" w:color="000000" w:fill="FFFFFF"/>
            <w:noWrap/>
            <w:vAlign w:val="center"/>
            <w:hideMark/>
          </w:tcPr>
          <w:p w14:paraId="22E73B34" w14:textId="77777777" w:rsidR="009C268F" w:rsidRPr="00312485" w:rsidRDefault="009C268F" w:rsidP="00590565">
            <w:pPr>
              <w:ind w:right="-108" w:firstLine="0"/>
              <w:jc w:val="left"/>
              <w:rPr>
                <w:color w:val="000000"/>
                <w:sz w:val="16"/>
                <w:szCs w:val="16"/>
                <w:lang w:val="ro-MD"/>
              </w:rPr>
            </w:pPr>
            <w:r w:rsidRPr="00312485">
              <w:rPr>
                <w:color w:val="000000"/>
                <w:sz w:val="16"/>
                <w:szCs w:val="16"/>
                <w:lang w:val="ro-MD"/>
              </w:rPr>
              <w:t xml:space="preserve">Servicii în domeniul economiei </w:t>
            </w:r>
          </w:p>
        </w:tc>
        <w:tc>
          <w:tcPr>
            <w:tcW w:w="794" w:type="dxa"/>
            <w:tcBorders>
              <w:top w:val="nil"/>
              <w:left w:val="single" w:sz="4" w:space="0" w:color="auto"/>
              <w:bottom w:val="nil"/>
              <w:right w:val="nil"/>
            </w:tcBorders>
            <w:shd w:val="clear" w:color="000000" w:fill="FFFFFF"/>
            <w:noWrap/>
            <w:vAlign w:val="center"/>
            <w:hideMark/>
          </w:tcPr>
          <w:p w14:paraId="1BD70A7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1 404,1</w:t>
            </w:r>
          </w:p>
        </w:tc>
        <w:tc>
          <w:tcPr>
            <w:tcW w:w="919" w:type="dxa"/>
            <w:tcBorders>
              <w:top w:val="nil"/>
              <w:left w:val="nil"/>
              <w:bottom w:val="nil"/>
              <w:right w:val="nil"/>
            </w:tcBorders>
            <w:shd w:val="clear" w:color="000000" w:fill="FFFFFF"/>
            <w:noWrap/>
            <w:vAlign w:val="center"/>
            <w:hideMark/>
          </w:tcPr>
          <w:p w14:paraId="23B84EA5"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1 528,6</w:t>
            </w:r>
          </w:p>
        </w:tc>
        <w:tc>
          <w:tcPr>
            <w:tcW w:w="919" w:type="dxa"/>
            <w:tcBorders>
              <w:top w:val="nil"/>
              <w:left w:val="nil"/>
              <w:bottom w:val="nil"/>
              <w:right w:val="nil"/>
            </w:tcBorders>
            <w:shd w:val="clear" w:color="000000" w:fill="FFFFFF"/>
            <w:noWrap/>
            <w:vAlign w:val="center"/>
            <w:hideMark/>
          </w:tcPr>
          <w:p w14:paraId="70ADCF4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3 498,9</w:t>
            </w:r>
          </w:p>
        </w:tc>
        <w:tc>
          <w:tcPr>
            <w:tcW w:w="919" w:type="dxa"/>
            <w:tcBorders>
              <w:top w:val="nil"/>
              <w:left w:val="nil"/>
              <w:bottom w:val="nil"/>
              <w:right w:val="nil"/>
            </w:tcBorders>
            <w:shd w:val="clear" w:color="000000" w:fill="FFFFFF"/>
            <w:noWrap/>
            <w:vAlign w:val="center"/>
            <w:hideMark/>
          </w:tcPr>
          <w:p w14:paraId="56F4DD1C"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3 737,6</w:t>
            </w:r>
          </w:p>
        </w:tc>
        <w:tc>
          <w:tcPr>
            <w:tcW w:w="794" w:type="dxa"/>
            <w:tcBorders>
              <w:top w:val="nil"/>
              <w:left w:val="dashed" w:sz="4" w:space="0" w:color="auto"/>
              <w:bottom w:val="nil"/>
              <w:right w:val="nil"/>
            </w:tcBorders>
            <w:shd w:val="clear" w:color="000000" w:fill="FFFFFF"/>
            <w:noWrap/>
            <w:vAlign w:val="center"/>
            <w:hideMark/>
          </w:tcPr>
          <w:p w14:paraId="0AD3559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63,6</w:t>
            </w:r>
          </w:p>
        </w:tc>
        <w:tc>
          <w:tcPr>
            <w:tcW w:w="919" w:type="dxa"/>
            <w:tcBorders>
              <w:top w:val="nil"/>
              <w:left w:val="nil"/>
              <w:bottom w:val="nil"/>
              <w:right w:val="nil"/>
            </w:tcBorders>
            <w:shd w:val="clear" w:color="000000" w:fill="FFFFFF"/>
            <w:noWrap/>
            <w:vAlign w:val="center"/>
            <w:hideMark/>
          </w:tcPr>
          <w:p w14:paraId="688824BA"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42,0</w:t>
            </w:r>
          </w:p>
        </w:tc>
        <w:tc>
          <w:tcPr>
            <w:tcW w:w="919" w:type="dxa"/>
            <w:tcBorders>
              <w:top w:val="nil"/>
              <w:left w:val="nil"/>
              <w:bottom w:val="nil"/>
              <w:right w:val="nil"/>
            </w:tcBorders>
            <w:shd w:val="clear" w:color="000000" w:fill="FFFFFF"/>
            <w:noWrap/>
            <w:vAlign w:val="center"/>
            <w:hideMark/>
          </w:tcPr>
          <w:p w14:paraId="49F5D25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51,3</w:t>
            </w:r>
          </w:p>
        </w:tc>
        <w:tc>
          <w:tcPr>
            <w:tcW w:w="919" w:type="dxa"/>
            <w:tcBorders>
              <w:top w:val="nil"/>
              <w:left w:val="nil"/>
              <w:bottom w:val="nil"/>
              <w:right w:val="nil"/>
            </w:tcBorders>
            <w:shd w:val="clear" w:color="000000" w:fill="FFFFFF"/>
            <w:noWrap/>
            <w:vAlign w:val="center"/>
            <w:hideMark/>
          </w:tcPr>
          <w:p w14:paraId="7693BE47"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40,2</w:t>
            </w:r>
          </w:p>
        </w:tc>
      </w:tr>
      <w:tr w:rsidR="009C268F" w:rsidRPr="00312485" w14:paraId="49BA4931" w14:textId="77777777" w:rsidTr="00612999">
        <w:trPr>
          <w:trHeight w:val="10"/>
        </w:trPr>
        <w:tc>
          <w:tcPr>
            <w:tcW w:w="406" w:type="dxa"/>
            <w:vMerge/>
            <w:tcBorders>
              <w:top w:val="nil"/>
              <w:left w:val="nil"/>
              <w:bottom w:val="nil"/>
              <w:right w:val="nil"/>
            </w:tcBorders>
            <w:vAlign w:val="center"/>
            <w:hideMark/>
          </w:tcPr>
          <w:p w14:paraId="63ABF41B"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56C0A6A5"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05</w:t>
            </w:r>
          </w:p>
        </w:tc>
        <w:tc>
          <w:tcPr>
            <w:tcW w:w="1486" w:type="dxa"/>
            <w:tcBorders>
              <w:top w:val="nil"/>
              <w:left w:val="nil"/>
              <w:bottom w:val="nil"/>
              <w:right w:val="single" w:sz="4" w:space="0" w:color="auto"/>
            </w:tcBorders>
            <w:shd w:val="clear" w:color="000000" w:fill="FFFFFF"/>
            <w:noWrap/>
            <w:vAlign w:val="center"/>
            <w:hideMark/>
          </w:tcPr>
          <w:p w14:paraId="37C5E4EE"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Protecția mediului</w:t>
            </w:r>
          </w:p>
        </w:tc>
        <w:tc>
          <w:tcPr>
            <w:tcW w:w="794" w:type="dxa"/>
            <w:tcBorders>
              <w:top w:val="nil"/>
              <w:left w:val="single" w:sz="4" w:space="0" w:color="auto"/>
              <w:bottom w:val="nil"/>
              <w:right w:val="nil"/>
            </w:tcBorders>
            <w:shd w:val="clear" w:color="000000" w:fill="FFFFFF"/>
            <w:noWrap/>
            <w:vAlign w:val="center"/>
            <w:hideMark/>
          </w:tcPr>
          <w:p w14:paraId="3DEC41E6"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25,0</w:t>
            </w:r>
          </w:p>
        </w:tc>
        <w:tc>
          <w:tcPr>
            <w:tcW w:w="919" w:type="dxa"/>
            <w:tcBorders>
              <w:top w:val="nil"/>
              <w:left w:val="nil"/>
              <w:bottom w:val="nil"/>
              <w:right w:val="nil"/>
            </w:tcBorders>
            <w:shd w:val="clear" w:color="000000" w:fill="FFFFFF"/>
            <w:noWrap/>
            <w:vAlign w:val="center"/>
            <w:hideMark/>
          </w:tcPr>
          <w:p w14:paraId="2BA8DA5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64,0</w:t>
            </w:r>
          </w:p>
        </w:tc>
        <w:tc>
          <w:tcPr>
            <w:tcW w:w="919" w:type="dxa"/>
            <w:tcBorders>
              <w:top w:val="nil"/>
              <w:left w:val="nil"/>
              <w:bottom w:val="nil"/>
              <w:right w:val="nil"/>
            </w:tcBorders>
            <w:shd w:val="clear" w:color="000000" w:fill="FFFFFF"/>
            <w:noWrap/>
            <w:vAlign w:val="center"/>
            <w:hideMark/>
          </w:tcPr>
          <w:p w14:paraId="07CC0D07"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140,0</w:t>
            </w:r>
          </w:p>
        </w:tc>
        <w:tc>
          <w:tcPr>
            <w:tcW w:w="919" w:type="dxa"/>
            <w:tcBorders>
              <w:top w:val="nil"/>
              <w:left w:val="nil"/>
              <w:bottom w:val="nil"/>
              <w:right w:val="nil"/>
            </w:tcBorders>
            <w:shd w:val="clear" w:color="000000" w:fill="FFFFFF"/>
            <w:noWrap/>
            <w:vAlign w:val="center"/>
            <w:hideMark/>
          </w:tcPr>
          <w:p w14:paraId="3A1C707A"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144,0</w:t>
            </w:r>
          </w:p>
        </w:tc>
        <w:tc>
          <w:tcPr>
            <w:tcW w:w="794" w:type="dxa"/>
            <w:tcBorders>
              <w:top w:val="nil"/>
              <w:left w:val="dashed" w:sz="4" w:space="0" w:color="auto"/>
              <w:bottom w:val="nil"/>
              <w:right w:val="nil"/>
            </w:tcBorders>
            <w:shd w:val="clear" w:color="000000" w:fill="FFFFFF"/>
            <w:noWrap/>
            <w:vAlign w:val="center"/>
            <w:hideMark/>
          </w:tcPr>
          <w:p w14:paraId="7013D53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1,1</w:t>
            </w:r>
          </w:p>
        </w:tc>
        <w:tc>
          <w:tcPr>
            <w:tcW w:w="919" w:type="dxa"/>
            <w:tcBorders>
              <w:top w:val="nil"/>
              <w:left w:val="nil"/>
              <w:bottom w:val="nil"/>
              <w:right w:val="nil"/>
            </w:tcBorders>
            <w:shd w:val="clear" w:color="000000" w:fill="FFFFFF"/>
            <w:noWrap/>
            <w:vAlign w:val="center"/>
            <w:hideMark/>
          </w:tcPr>
          <w:p w14:paraId="43E81B4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1,8</w:t>
            </w:r>
          </w:p>
        </w:tc>
        <w:tc>
          <w:tcPr>
            <w:tcW w:w="919" w:type="dxa"/>
            <w:tcBorders>
              <w:top w:val="nil"/>
              <w:left w:val="nil"/>
              <w:bottom w:val="nil"/>
              <w:right w:val="nil"/>
            </w:tcBorders>
            <w:shd w:val="clear" w:color="000000" w:fill="FFFFFF"/>
            <w:noWrap/>
            <w:vAlign w:val="center"/>
            <w:hideMark/>
          </w:tcPr>
          <w:p w14:paraId="3A6AC9A8"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2,1</w:t>
            </w:r>
          </w:p>
        </w:tc>
        <w:tc>
          <w:tcPr>
            <w:tcW w:w="919" w:type="dxa"/>
            <w:tcBorders>
              <w:top w:val="nil"/>
              <w:left w:val="nil"/>
              <w:bottom w:val="nil"/>
              <w:right w:val="nil"/>
            </w:tcBorders>
            <w:shd w:val="clear" w:color="000000" w:fill="FFFFFF"/>
            <w:noWrap/>
            <w:vAlign w:val="center"/>
            <w:hideMark/>
          </w:tcPr>
          <w:p w14:paraId="2DC71696"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1,5</w:t>
            </w:r>
          </w:p>
        </w:tc>
      </w:tr>
      <w:tr w:rsidR="009C268F" w:rsidRPr="00312485" w14:paraId="2085FC70" w14:textId="77777777" w:rsidTr="00612999">
        <w:trPr>
          <w:trHeight w:val="14"/>
        </w:trPr>
        <w:tc>
          <w:tcPr>
            <w:tcW w:w="406" w:type="dxa"/>
            <w:vMerge/>
            <w:tcBorders>
              <w:top w:val="nil"/>
              <w:left w:val="nil"/>
              <w:bottom w:val="nil"/>
              <w:right w:val="nil"/>
            </w:tcBorders>
            <w:vAlign w:val="center"/>
            <w:hideMark/>
          </w:tcPr>
          <w:p w14:paraId="0A96A855"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50C47BF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06</w:t>
            </w:r>
          </w:p>
        </w:tc>
        <w:tc>
          <w:tcPr>
            <w:tcW w:w="1486" w:type="dxa"/>
            <w:tcBorders>
              <w:top w:val="nil"/>
              <w:left w:val="nil"/>
              <w:bottom w:val="nil"/>
              <w:right w:val="single" w:sz="4" w:space="0" w:color="auto"/>
            </w:tcBorders>
            <w:shd w:val="clear" w:color="000000" w:fill="FFFFFF"/>
            <w:vAlign w:val="center"/>
            <w:hideMark/>
          </w:tcPr>
          <w:p w14:paraId="1CD40686" w14:textId="7A8549DD" w:rsidR="009C268F" w:rsidRPr="00312485" w:rsidRDefault="009C268F" w:rsidP="000733EA">
            <w:pPr>
              <w:ind w:firstLine="0"/>
              <w:jc w:val="left"/>
              <w:rPr>
                <w:color w:val="000000"/>
                <w:sz w:val="16"/>
                <w:szCs w:val="16"/>
                <w:lang w:val="ro-MD"/>
              </w:rPr>
            </w:pPr>
            <w:r w:rsidRPr="00312485">
              <w:rPr>
                <w:color w:val="000000"/>
                <w:sz w:val="16"/>
                <w:szCs w:val="16"/>
                <w:lang w:val="ro-MD"/>
              </w:rPr>
              <w:t>Gospodăria de locuințe și gospodăria serviciilor</w:t>
            </w:r>
            <w:r w:rsidR="000733EA">
              <w:rPr>
                <w:color w:val="000000"/>
                <w:sz w:val="16"/>
                <w:szCs w:val="16"/>
                <w:lang w:val="ro-MD"/>
              </w:rPr>
              <w:t xml:space="preserve"> </w:t>
            </w:r>
            <w:r w:rsidRPr="00312485">
              <w:rPr>
                <w:color w:val="000000"/>
                <w:sz w:val="16"/>
                <w:szCs w:val="16"/>
                <w:lang w:val="ro-MD"/>
              </w:rPr>
              <w:t xml:space="preserve">comunale </w:t>
            </w:r>
          </w:p>
        </w:tc>
        <w:tc>
          <w:tcPr>
            <w:tcW w:w="794" w:type="dxa"/>
            <w:tcBorders>
              <w:top w:val="nil"/>
              <w:left w:val="single" w:sz="4" w:space="0" w:color="auto"/>
              <w:bottom w:val="nil"/>
              <w:right w:val="nil"/>
            </w:tcBorders>
            <w:shd w:val="clear" w:color="000000" w:fill="FFFFFF"/>
            <w:noWrap/>
            <w:vAlign w:val="center"/>
            <w:hideMark/>
          </w:tcPr>
          <w:p w14:paraId="0D0B1614"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97,0</w:t>
            </w:r>
          </w:p>
        </w:tc>
        <w:tc>
          <w:tcPr>
            <w:tcW w:w="919" w:type="dxa"/>
            <w:tcBorders>
              <w:top w:val="nil"/>
              <w:left w:val="nil"/>
              <w:bottom w:val="nil"/>
              <w:right w:val="nil"/>
            </w:tcBorders>
            <w:shd w:val="clear" w:color="000000" w:fill="FFFFFF"/>
            <w:noWrap/>
            <w:vAlign w:val="center"/>
            <w:hideMark/>
          </w:tcPr>
          <w:p w14:paraId="7D5AB71B"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295,0</w:t>
            </w:r>
          </w:p>
        </w:tc>
        <w:tc>
          <w:tcPr>
            <w:tcW w:w="919" w:type="dxa"/>
            <w:tcBorders>
              <w:top w:val="nil"/>
              <w:left w:val="nil"/>
              <w:bottom w:val="nil"/>
              <w:right w:val="nil"/>
            </w:tcBorders>
            <w:shd w:val="clear" w:color="000000" w:fill="FFFFFF"/>
            <w:noWrap/>
            <w:vAlign w:val="center"/>
            <w:hideMark/>
          </w:tcPr>
          <w:p w14:paraId="1C2F8FB5"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288,2</w:t>
            </w:r>
          </w:p>
        </w:tc>
        <w:tc>
          <w:tcPr>
            <w:tcW w:w="919" w:type="dxa"/>
            <w:tcBorders>
              <w:top w:val="nil"/>
              <w:left w:val="nil"/>
              <w:bottom w:val="nil"/>
              <w:right w:val="nil"/>
            </w:tcBorders>
            <w:shd w:val="clear" w:color="000000" w:fill="FFFFFF"/>
            <w:noWrap/>
            <w:vAlign w:val="center"/>
            <w:hideMark/>
          </w:tcPr>
          <w:p w14:paraId="67A8C0D5"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250,0</w:t>
            </w:r>
          </w:p>
        </w:tc>
        <w:tc>
          <w:tcPr>
            <w:tcW w:w="794" w:type="dxa"/>
            <w:tcBorders>
              <w:top w:val="nil"/>
              <w:left w:val="dashed" w:sz="4" w:space="0" w:color="auto"/>
              <w:bottom w:val="nil"/>
              <w:right w:val="nil"/>
            </w:tcBorders>
            <w:shd w:val="clear" w:color="000000" w:fill="FFFFFF"/>
            <w:noWrap/>
            <w:vAlign w:val="center"/>
            <w:hideMark/>
          </w:tcPr>
          <w:p w14:paraId="4FFAA06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4,4</w:t>
            </w:r>
          </w:p>
        </w:tc>
        <w:tc>
          <w:tcPr>
            <w:tcW w:w="919" w:type="dxa"/>
            <w:tcBorders>
              <w:top w:val="nil"/>
              <w:left w:val="nil"/>
              <w:bottom w:val="nil"/>
              <w:right w:val="nil"/>
            </w:tcBorders>
            <w:shd w:val="clear" w:color="000000" w:fill="FFFFFF"/>
            <w:noWrap/>
            <w:vAlign w:val="center"/>
            <w:hideMark/>
          </w:tcPr>
          <w:p w14:paraId="5CE8F81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8,1</w:t>
            </w:r>
          </w:p>
        </w:tc>
        <w:tc>
          <w:tcPr>
            <w:tcW w:w="919" w:type="dxa"/>
            <w:tcBorders>
              <w:top w:val="nil"/>
              <w:left w:val="nil"/>
              <w:bottom w:val="nil"/>
              <w:right w:val="nil"/>
            </w:tcBorders>
            <w:shd w:val="clear" w:color="000000" w:fill="FFFFFF"/>
            <w:noWrap/>
            <w:vAlign w:val="center"/>
            <w:hideMark/>
          </w:tcPr>
          <w:p w14:paraId="7081A427"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4,2</w:t>
            </w:r>
          </w:p>
        </w:tc>
        <w:tc>
          <w:tcPr>
            <w:tcW w:w="919" w:type="dxa"/>
            <w:tcBorders>
              <w:top w:val="nil"/>
              <w:left w:val="nil"/>
              <w:bottom w:val="nil"/>
              <w:right w:val="nil"/>
            </w:tcBorders>
            <w:shd w:val="clear" w:color="000000" w:fill="FFFFFF"/>
            <w:noWrap/>
            <w:vAlign w:val="center"/>
            <w:hideMark/>
          </w:tcPr>
          <w:p w14:paraId="38834F4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2,7</w:t>
            </w:r>
          </w:p>
        </w:tc>
      </w:tr>
      <w:tr w:rsidR="009C268F" w:rsidRPr="00312485" w14:paraId="3D806C6F" w14:textId="77777777" w:rsidTr="00612999">
        <w:trPr>
          <w:trHeight w:val="10"/>
        </w:trPr>
        <w:tc>
          <w:tcPr>
            <w:tcW w:w="406" w:type="dxa"/>
            <w:vMerge/>
            <w:tcBorders>
              <w:top w:val="nil"/>
              <w:left w:val="nil"/>
              <w:bottom w:val="nil"/>
              <w:right w:val="nil"/>
            </w:tcBorders>
            <w:vAlign w:val="center"/>
            <w:hideMark/>
          </w:tcPr>
          <w:p w14:paraId="4F3228C2"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52526CA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07</w:t>
            </w:r>
          </w:p>
        </w:tc>
        <w:tc>
          <w:tcPr>
            <w:tcW w:w="1486" w:type="dxa"/>
            <w:tcBorders>
              <w:top w:val="nil"/>
              <w:left w:val="nil"/>
              <w:bottom w:val="nil"/>
              <w:right w:val="single" w:sz="4" w:space="0" w:color="auto"/>
            </w:tcBorders>
            <w:shd w:val="clear" w:color="000000" w:fill="FFFFFF"/>
            <w:noWrap/>
            <w:vAlign w:val="center"/>
            <w:hideMark/>
          </w:tcPr>
          <w:p w14:paraId="3F1FE64A"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xml:space="preserve">Ocrotirea sănătății </w:t>
            </w:r>
          </w:p>
        </w:tc>
        <w:tc>
          <w:tcPr>
            <w:tcW w:w="794" w:type="dxa"/>
            <w:tcBorders>
              <w:top w:val="nil"/>
              <w:left w:val="single" w:sz="4" w:space="0" w:color="auto"/>
              <w:bottom w:val="nil"/>
              <w:right w:val="nil"/>
            </w:tcBorders>
            <w:shd w:val="clear" w:color="000000" w:fill="FFFFFF"/>
            <w:noWrap/>
            <w:vAlign w:val="center"/>
            <w:hideMark/>
          </w:tcPr>
          <w:p w14:paraId="45D27CA0"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41,0</w:t>
            </w:r>
          </w:p>
        </w:tc>
        <w:tc>
          <w:tcPr>
            <w:tcW w:w="919" w:type="dxa"/>
            <w:tcBorders>
              <w:top w:val="nil"/>
              <w:left w:val="nil"/>
              <w:bottom w:val="nil"/>
              <w:right w:val="nil"/>
            </w:tcBorders>
            <w:shd w:val="clear" w:color="000000" w:fill="FFFFFF"/>
            <w:noWrap/>
            <w:vAlign w:val="center"/>
            <w:hideMark/>
          </w:tcPr>
          <w:p w14:paraId="3703D480"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105,0</w:t>
            </w:r>
          </w:p>
        </w:tc>
        <w:tc>
          <w:tcPr>
            <w:tcW w:w="919" w:type="dxa"/>
            <w:tcBorders>
              <w:top w:val="nil"/>
              <w:left w:val="nil"/>
              <w:bottom w:val="nil"/>
              <w:right w:val="nil"/>
            </w:tcBorders>
            <w:shd w:val="clear" w:color="000000" w:fill="FFFFFF"/>
            <w:noWrap/>
            <w:vAlign w:val="center"/>
            <w:hideMark/>
          </w:tcPr>
          <w:p w14:paraId="28FC0C3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564,2</w:t>
            </w:r>
          </w:p>
        </w:tc>
        <w:tc>
          <w:tcPr>
            <w:tcW w:w="919" w:type="dxa"/>
            <w:tcBorders>
              <w:top w:val="nil"/>
              <w:left w:val="nil"/>
              <w:bottom w:val="nil"/>
              <w:right w:val="nil"/>
            </w:tcBorders>
            <w:shd w:val="clear" w:color="000000" w:fill="FFFFFF"/>
            <w:noWrap/>
            <w:vAlign w:val="center"/>
            <w:hideMark/>
          </w:tcPr>
          <w:p w14:paraId="686C7789"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900,0</w:t>
            </w:r>
          </w:p>
        </w:tc>
        <w:tc>
          <w:tcPr>
            <w:tcW w:w="794" w:type="dxa"/>
            <w:tcBorders>
              <w:top w:val="nil"/>
              <w:left w:val="dashed" w:sz="4" w:space="0" w:color="auto"/>
              <w:bottom w:val="nil"/>
              <w:right w:val="nil"/>
            </w:tcBorders>
            <w:shd w:val="clear" w:color="000000" w:fill="FFFFFF"/>
            <w:noWrap/>
            <w:vAlign w:val="center"/>
            <w:hideMark/>
          </w:tcPr>
          <w:p w14:paraId="2432A467"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1,9</w:t>
            </w:r>
          </w:p>
        </w:tc>
        <w:tc>
          <w:tcPr>
            <w:tcW w:w="919" w:type="dxa"/>
            <w:tcBorders>
              <w:top w:val="nil"/>
              <w:left w:val="nil"/>
              <w:bottom w:val="nil"/>
              <w:right w:val="nil"/>
            </w:tcBorders>
            <w:shd w:val="clear" w:color="000000" w:fill="FFFFFF"/>
            <w:noWrap/>
            <w:vAlign w:val="center"/>
            <w:hideMark/>
          </w:tcPr>
          <w:p w14:paraId="45D9D0E5"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2,9</w:t>
            </w:r>
          </w:p>
        </w:tc>
        <w:tc>
          <w:tcPr>
            <w:tcW w:w="919" w:type="dxa"/>
            <w:tcBorders>
              <w:top w:val="nil"/>
              <w:left w:val="nil"/>
              <w:bottom w:val="nil"/>
              <w:right w:val="nil"/>
            </w:tcBorders>
            <w:shd w:val="clear" w:color="000000" w:fill="FFFFFF"/>
            <w:noWrap/>
            <w:vAlign w:val="center"/>
            <w:hideMark/>
          </w:tcPr>
          <w:p w14:paraId="502FB3FD"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8,3</w:t>
            </w:r>
          </w:p>
        </w:tc>
        <w:tc>
          <w:tcPr>
            <w:tcW w:w="919" w:type="dxa"/>
            <w:tcBorders>
              <w:top w:val="nil"/>
              <w:left w:val="nil"/>
              <w:bottom w:val="nil"/>
              <w:right w:val="nil"/>
            </w:tcBorders>
            <w:shd w:val="clear" w:color="000000" w:fill="FFFFFF"/>
            <w:noWrap/>
            <w:vAlign w:val="center"/>
            <w:hideMark/>
          </w:tcPr>
          <w:p w14:paraId="5118BFB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9,7</w:t>
            </w:r>
          </w:p>
        </w:tc>
      </w:tr>
      <w:tr w:rsidR="009C268F" w:rsidRPr="00312485" w14:paraId="489E1A44" w14:textId="77777777" w:rsidTr="00612999">
        <w:trPr>
          <w:trHeight w:val="10"/>
        </w:trPr>
        <w:tc>
          <w:tcPr>
            <w:tcW w:w="406" w:type="dxa"/>
            <w:vMerge/>
            <w:tcBorders>
              <w:top w:val="nil"/>
              <w:left w:val="nil"/>
              <w:bottom w:val="nil"/>
              <w:right w:val="nil"/>
            </w:tcBorders>
            <w:vAlign w:val="center"/>
            <w:hideMark/>
          </w:tcPr>
          <w:p w14:paraId="02CCAFB3"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017D238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08</w:t>
            </w:r>
          </w:p>
        </w:tc>
        <w:tc>
          <w:tcPr>
            <w:tcW w:w="1486" w:type="dxa"/>
            <w:tcBorders>
              <w:top w:val="nil"/>
              <w:left w:val="nil"/>
              <w:bottom w:val="nil"/>
              <w:right w:val="single" w:sz="4" w:space="0" w:color="auto"/>
            </w:tcBorders>
            <w:shd w:val="clear" w:color="000000" w:fill="FFFFFF"/>
            <w:noWrap/>
            <w:vAlign w:val="center"/>
            <w:hideMark/>
          </w:tcPr>
          <w:p w14:paraId="38C96A35"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xml:space="preserve">Cultură, sport, tineret, culte și odihnă </w:t>
            </w:r>
          </w:p>
        </w:tc>
        <w:tc>
          <w:tcPr>
            <w:tcW w:w="794" w:type="dxa"/>
            <w:tcBorders>
              <w:top w:val="nil"/>
              <w:left w:val="single" w:sz="4" w:space="0" w:color="auto"/>
              <w:bottom w:val="nil"/>
              <w:right w:val="nil"/>
            </w:tcBorders>
            <w:shd w:val="clear" w:color="000000" w:fill="FFFFFF"/>
            <w:noWrap/>
            <w:vAlign w:val="center"/>
            <w:hideMark/>
          </w:tcPr>
          <w:p w14:paraId="21FC5482"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16,5</w:t>
            </w:r>
          </w:p>
        </w:tc>
        <w:tc>
          <w:tcPr>
            <w:tcW w:w="919" w:type="dxa"/>
            <w:tcBorders>
              <w:top w:val="nil"/>
              <w:left w:val="nil"/>
              <w:bottom w:val="nil"/>
              <w:right w:val="nil"/>
            </w:tcBorders>
            <w:shd w:val="clear" w:color="000000" w:fill="FFFFFF"/>
            <w:noWrap/>
            <w:vAlign w:val="center"/>
            <w:hideMark/>
          </w:tcPr>
          <w:p w14:paraId="6842BD1D"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32,0</w:t>
            </w:r>
          </w:p>
        </w:tc>
        <w:tc>
          <w:tcPr>
            <w:tcW w:w="919" w:type="dxa"/>
            <w:tcBorders>
              <w:top w:val="nil"/>
              <w:left w:val="nil"/>
              <w:bottom w:val="nil"/>
              <w:right w:val="nil"/>
            </w:tcBorders>
            <w:shd w:val="clear" w:color="000000" w:fill="FFFFFF"/>
            <w:noWrap/>
            <w:vAlign w:val="center"/>
            <w:hideMark/>
          </w:tcPr>
          <w:p w14:paraId="635E0316"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79,5</w:t>
            </w:r>
          </w:p>
        </w:tc>
        <w:tc>
          <w:tcPr>
            <w:tcW w:w="919" w:type="dxa"/>
            <w:tcBorders>
              <w:top w:val="nil"/>
              <w:left w:val="nil"/>
              <w:bottom w:val="nil"/>
              <w:right w:val="nil"/>
            </w:tcBorders>
            <w:shd w:val="clear" w:color="000000" w:fill="FFFFFF"/>
            <w:noWrap/>
            <w:vAlign w:val="center"/>
            <w:hideMark/>
          </w:tcPr>
          <w:p w14:paraId="28A93F02"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235,0</w:t>
            </w:r>
          </w:p>
        </w:tc>
        <w:tc>
          <w:tcPr>
            <w:tcW w:w="794" w:type="dxa"/>
            <w:tcBorders>
              <w:top w:val="nil"/>
              <w:left w:val="dashed" w:sz="4" w:space="0" w:color="auto"/>
              <w:bottom w:val="nil"/>
              <w:right w:val="nil"/>
            </w:tcBorders>
            <w:shd w:val="clear" w:color="000000" w:fill="FFFFFF"/>
            <w:noWrap/>
            <w:vAlign w:val="center"/>
            <w:hideMark/>
          </w:tcPr>
          <w:p w14:paraId="7FE2E54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0,7</w:t>
            </w:r>
          </w:p>
        </w:tc>
        <w:tc>
          <w:tcPr>
            <w:tcW w:w="919" w:type="dxa"/>
            <w:tcBorders>
              <w:top w:val="nil"/>
              <w:left w:val="nil"/>
              <w:bottom w:val="nil"/>
              <w:right w:val="nil"/>
            </w:tcBorders>
            <w:shd w:val="clear" w:color="000000" w:fill="FFFFFF"/>
            <w:noWrap/>
            <w:vAlign w:val="center"/>
            <w:hideMark/>
          </w:tcPr>
          <w:p w14:paraId="3E838FF1"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0,9</w:t>
            </w:r>
          </w:p>
        </w:tc>
        <w:tc>
          <w:tcPr>
            <w:tcW w:w="919" w:type="dxa"/>
            <w:tcBorders>
              <w:top w:val="nil"/>
              <w:left w:val="nil"/>
              <w:bottom w:val="nil"/>
              <w:right w:val="nil"/>
            </w:tcBorders>
            <w:shd w:val="clear" w:color="000000" w:fill="FFFFFF"/>
            <w:noWrap/>
            <w:vAlign w:val="center"/>
            <w:hideMark/>
          </w:tcPr>
          <w:p w14:paraId="5835E9CA"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1,2</w:t>
            </w:r>
          </w:p>
        </w:tc>
        <w:tc>
          <w:tcPr>
            <w:tcW w:w="919" w:type="dxa"/>
            <w:tcBorders>
              <w:top w:val="nil"/>
              <w:left w:val="nil"/>
              <w:bottom w:val="nil"/>
              <w:right w:val="nil"/>
            </w:tcBorders>
            <w:shd w:val="clear" w:color="000000" w:fill="FFFFFF"/>
            <w:noWrap/>
            <w:vAlign w:val="center"/>
            <w:hideMark/>
          </w:tcPr>
          <w:p w14:paraId="2756D109"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2,5</w:t>
            </w:r>
          </w:p>
        </w:tc>
      </w:tr>
      <w:tr w:rsidR="009C268F" w:rsidRPr="00312485" w14:paraId="4FD249A1" w14:textId="77777777" w:rsidTr="00612999">
        <w:trPr>
          <w:trHeight w:val="10"/>
        </w:trPr>
        <w:tc>
          <w:tcPr>
            <w:tcW w:w="406" w:type="dxa"/>
            <w:vMerge/>
            <w:tcBorders>
              <w:top w:val="nil"/>
              <w:left w:val="nil"/>
              <w:bottom w:val="nil"/>
              <w:right w:val="nil"/>
            </w:tcBorders>
            <w:vAlign w:val="center"/>
            <w:hideMark/>
          </w:tcPr>
          <w:p w14:paraId="74626DEE" w14:textId="77777777" w:rsidR="009C268F" w:rsidRPr="00312485" w:rsidRDefault="009C268F" w:rsidP="009C268F">
            <w:pPr>
              <w:ind w:firstLine="0"/>
              <w:jc w:val="left"/>
              <w:rPr>
                <w:b/>
                <w:bCs/>
                <w:color w:val="000000"/>
                <w:sz w:val="16"/>
                <w:szCs w:val="16"/>
                <w:lang w:val="ro-MD"/>
              </w:rPr>
            </w:pPr>
          </w:p>
        </w:tc>
        <w:tc>
          <w:tcPr>
            <w:tcW w:w="498" w:type="dxa"/>
            <w:gridSpan w:val="2"/>
            <w:tcBorders>
              <w:top w:val="nil"/>
              <w:left w:val="nil"/>
              <w:bottom w:val="nil"/>
              <w:right w:val="nil"/>
            </w:tcBorders>
            <w:shd w:val="clear" w:color="000000" w:fill="FFFFFF"/>
            <w:noWrap/>
            <w:vAlign w:val="center"/>
            <w:hideMark/>
          </w:tcPr>
          <w:p w14:paraId="7F202B6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09</w:t>
            </w:r>
          </w:p>
        </w:tc>
        <w:tc>
          <w:tcPr>
            <w:tcW w:w="1486" w:type="dxa"/>
            <w:tcBorders>
              <w:top w:val="nil"/>
              <w:left w:val="nil"/>
              <w:bottom w:val="nil"/>
              <w:right w:val="single" w:sz="4" w:space="0" w:color="auto"/>
            </w:tcBorders>
            <w:shd w:val="clear" w:color="000000" w:fill="FFFFFF"/>
            <w:noWrap/>
            <w:vAlign w:val="center"/>
            <w:hideMark/>
          </w:tcPr>
          <w:p w14:paraId="102D4C69"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xml:space="preserve">Învățământ </w:t>
            </w:r>
          </w:p>
        </w:tc>
        <w:tc>
          <w:tcPr>
            <w:tcW w:w="794" w:type="dxa"/>
            <w:tcBorders>
              <w:top w:val="nil"/>
              <w:left w:val="single" w:sz="4" w:space="0" w:color="auto"/>
              <w:bottom w:val="nil"/>
              <w:right w:val="nil"/>
            </w:tcBorders>
            <w:shd w:val="clear" w:color="000000" w:fill="FFFFFF"/>
            <w:noWrap/>
            <w:vAlign w:val="center"/>
            <w:hideMark/>
          </w:tcPr>
          <w:p w14:paraId="34D90AB9"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31,0</w:t>
            </w:r>
          </w:p>
        </w:tc>
        <w:tc>
          <w:tcPr>
            <w:tcW w:w="919" w:type="dxa"/>
            <w:tcBorders>
              <w:top w:val="nil"/>
              <w:left w:val="nil"/>
              <w:bottom w:val="nil"/>
              <w:right w:val="nil"/>
            </w:tcBorders>
            <w:shd w:val="clear" w:color="000000" w:fill="FFFFFF"/>
            <w:noWrap/>
            <w:vAlign w:val="center"/>
            <w:hideMark/>
          </w:tcPr>
          <w:p w14:paraId="057D25FD"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28,0</w:t>
            </w:r>
          </w:p>
        </w:tc>
        <w:tc>
          <w:tcPr>
            <w:tcW w:w="919" w:type="dxa"/>
            <w:tcBorders>
              <w:top w:val="nil"/>
              <w:left w:val="nil"/>
              <w:bottom w:val="nil"/>
              <w:right w:val="nil"/>
            </w:tcBorders>
            <w:shd w:val="clear" w:color="000000" w:fill="FFFFFF"/>
            <w:noWrap/>
            <w:vAlign w:val="center"/>
            <w:hideMark/>
          </w:tcPr>
          <w:p w14:paraId="2D271907"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25,3</w:t>
            </w:r>
          </w:p>
        </w:tc>
        <w:tc>
          <w:tcPr>
            <w:tcW w:w="919" w:type="dxa"/>
            <w:tcBorders>
              <w:top w:val="nil"/>
              <w:left w:val="nil"/>
              <w:bottom w:val="nil"/>
              <w:right w:val="nil"/>
            </w:tcBorders>
            <w:shd w:val="clear" w:color="000000" w:fill="FFFFFF"/>
            <w:noWrap/>
            <w:vAlign w:val="center"/>
            <w:hideMark/>
          </w:tcPr>
          <w:p w14:paraId="4FF7EB46"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794" w:type="dxa"/>
            <w:tcBorders>
              <w:top w:val="nil"/>
              <w:left w:val="dashed" w:sz="4" w:space="0" w:color="auto"/>
              <w:bottom w:val="nil"/>
              <w:right w:val="nil"/>
            </w:tcBorders>
            <w:shd w:val="clear" w:color="000000" w:fill="FFFFFF"/>
            <w:noWrap/>
            <w:vAlign w:val="center"/>
            <w:hideMark/>
          </w:tcPr>
          <w:p w14:paraId="7509AC13"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1,4</w:t>
            </w:r>
          </w:p>
        </w:tc>
        <w:tc>
          <w:tcPr>
            <w:tcW w:w="919" w:type="dxa"/>
            <w:tcBorders>
              <w:top w:val="nil"/>
              <w:left w:val="nil"/>
              <w:bottom w:val="nil"/>
              <w:right w:val="nil"/>
            </w:tcBorders>
            <w:shd w:val="clear" w:color="000000" w:fill="FFFFFF"/>
            <w:noWrap/>
            <w:vAlign w:val="center"/>
            <w:hideMark/>
          </w:tcPr>
          <w:p w14:paraId="0F1B585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0,8</w:t>
            </w:r>
          </w:p>
        </w:tc>
        <w:tc>
          <w:tcPr>
            <w:tcW w:w="919" w:type="dxa"/>
            <w:tcBorders>
              <w:top w:val="nil"/>
              <w:left w:val="nil"/>
              <w:bottom w:val="nil"/>
              <w:right w:val="nil"/>
            </w:tcBorders>
            <w:shd w:val="clear" w:color="000000" w:fill="FFFFFF"/>
            <w:noWrap/>
            <w:vAlign w:val="center"/>
            <w:hideMark/>
          </w:tcPr>
          <w:p w14:paraId="27185912"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0,4</w:t>
            </w:r>
          </w:p>
        </w:tc>
        <w:tc>
          <w:tcPr>
            <w:tcW w:w="919" w:type="dxa"/>
            <w:tcBorders>
              <w:top w:val="nil"/>
              <w:left w:val="nil"/>
              <w:bottom w:val="nil"/>
              <w:right w:val="nil"/>
            </w:tcBorders>
            <w:shd w:val="clear" w:color="000000" w:fill="FFFFFF"/>
            <w:noWrap/>
            <w:vAlign w:val="center"/>
            <w:hideMark/>
          </w:tcPr>
          <w:p w14:paraId="6C1DD71C"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r>
      <w:tr w:rsidR="009C268F" w:rsidRPr="00312485" w14:paraId="726FD10E" w14:textId="77777777" w:rsidTr="00612999">
        <w:trPr>
          <w:trHeight w:val="10"/>
        </w:trPr>
        <w:tc>
          <w:tcPr>
            <w:tcW w:w="406" w:type="dxa"/>
            <w:tcBorders>
              <w:top w:val="nil"/>
              <w:left w:val="nil"/>
              <w:bottom w:val="nil"/>
              <w:right w:val="nil"/>
            </w:tcBorders>
            <w:shd w:val="clear" w:color="000000" w:fill="FFFFFF"/>
            <w:noWrap/>
            <w:textDirection w:val="btLr"/>
            <w:vAlign w:val="center"/>
            <w:hideMark/>
          </w:tcPr>
          <w:p w14:paraId="515F7416" w14:textId="77777777" w:rsidR="009C268F" w:rsidRPr="00312485" w:rsidRDefault="009C268F" w:rsidP="009C268F">
            <w:pPr>
              <w:ind w:firstLine="0"/>
              <w:jc w:val="center"/>
              <w:rPr>
                <w:b/>
                <w:bCs/>
                <w:color w:val="000000"/>
                <w:sz w:val="16"/>
                <w:szCs w:val="16"/>
                <w:lang w:val="ro-MD"/>
              </w:rPr>
            </w:pPr>
            <w:r w:rsidRPr="00312485">
              <w:rPr>
                <w:b/>
                <w:bCs/>
                <w:color w:val="000000"/>
                <w:sz w:val="16"/>
                <w:szCs w:val="16"/>
                <w:lang w:val="ro-MD"/>
              </w:rPr>
              <w:t> </w:t>
            </w:r>
          </w:p>
        </w:tc>
        <w:tc>
          <w:tcPr>
            <w:tcW w:w="498" w:type="dxa"/>
            <w:gridSpan w:val="2"/>
            <w:tcBorders>
              <w:top w:val="nil"/>
              <w:left w:val="nil"/>
              <w:bottom w:val="nil"/>
              <w:right w:val="nil"/>
            </w:tcBorders>
            <w:shd w:val="clear" w:color="000000" w:fill="FFFFFF"/>
            <w:noWrap/>
            <w:vAlign w:val="center"/>
            <w:hideMark/>
          </w:tcPr>
          <w:p w14:paraId="55F55E96"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10</w:t>
            </w:r>
          </w:p>
        </w:tc>
        <w:tc>
          <w:tcPr>
            <w:tcW w:w="1486" w:type="dxa"/>
            <w:tcBorders>
              <w:top w:val="nil"/>
              <w:left w:val="nil"/>
              <w:bottom w:val="nil"/>
              <w:right w:val="single" w:sz="4" w:space="0" w:color="auto"/>
            </w:tcBorders>
            <w:shd w:val="clear" w:color="000000" w:fill="FFFFFF"/>
            <w:noWrap/>
            <w:vAlign w:val="center"/>
            <w:hideMark/>
          </w:tcPr>
          <w:p w14:paraId="413A7E3A"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Protecție socială</w:t>
            </w:r>
          </w:p>
        </w:tc>
        <w:tc>
          <w:tcPr>
            <w:tcW w:w="794" w:type="dxa"/>
            <w:tcBorders>
              <w:top w:val="nil"/>
              <w:left w:val="single" w:sz="4" w:space="0" w:color="auto"/>
              <w:bottom w:val="nil"/>
              <w:right w:val="nil"/>
            </w:tcBorders>
            <w:shd w:val="clear" w:color="000000" w:fill="FFFFFF"/>
            <w:noWrap/>
            <w:vAlign w:val="center"/>
            <w:hideMark/>
          </w:tcPr>
          <w:p w14:paraId="7C0959D3"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0DC7DCEE"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1,4</w:t>
            </w:r>
          </w:p>
        </w:tc>
        <w:tc>
          <w:tcPr>
            <w:tcW w:w="919" w:type="dxa"/>
            <w:tcBorders>
              <w:top w:val="nil"/>
              <w:left w:val="nil"/>
              <w:bottom w:val="nil"/>
              <w:right w:val="nil"/>
            </w:tcBorders>
            <w:shd w:val="clear" w:color="000000" w:fill="FFFFFF"/>
            <w:noWrap/>
            <w:vAlign w:val="center"/>
            <w:hideMark/>
          </w:tcPr>
          <w:p w14:paraId="477351E1"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2,0</w:t>
            </w:r>
          </w:p>
        </w:tc>
        <w:tc>
          <w:tcPr>
            <w:tcW w:w="919" w:type="dxa"/>
            <w:tcBorders>
              <w:top w:val="nil"/>
              <w:left w:val="nil"/>
              <w:bottom w:val="nil"/>
              <w:right w:val="nil"/>
            </w:tcBorders>
            <w:shd w:val="clear" w:color="000000" w:fill="FFFFFF"/>
            <w:noWrap/>
            <w:vAlign w:val="center"/>
            <w:hideMark/>
          </w:tcPr>
          <w:p w14:paraId="2E190027"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 </w:t>
            </w:r>
          </w:p>
        </w:tc>
        <w:tc>
          <w:tcPr>
            <w:tcW w:w="794" w:type="dxa"/>
            <w:tcBorders>
              <w:top w:val="nil"/>
              <w:left w:val="dashed" w:sz="4" w:space="0" w:color="auto"/>
              <w:bottom w:val="nil"/>
              <w:right w:val="nil"/>
            </w:tcBorders>
            <w:shd w:val="clear" w:color="000000" w:fill="FFFFFF"/>
            <w:noWrap/>
            <w:vAlign w:val="center"/>
            <w:hideMark/>
          </w:tcPr>
          <w:p w14:paraId="1027A2BA"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nil"/>
              <w:right w:val="nil"/>
            </w:tcBorders>
            <w:shd w:val="clear" w:color="000000" w:fill="FFFFFF"/>
            <w:noWrap/>
            <w:vAlign w:val="center"/>
            <w:hideMark/>
          </w:tcPr>
          <w:p w14:paraId="5B9A62C8"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0,04</w:t>
            </w:r>
          </w:p>
        </w:tc>
        <w:tc>
          <w:tcPr>
            <w:tcW w:w="919" w:type="dxa"/>
            <w:tcBorders>
              <w:top w:val="nil"/>
              <w:left w:val="nil"/>
              <w:bottom w:val="nil"/>
              <w:right w:val="nil"/>
            </w:tcBorders>
            <w:shd w:val="clear" w:color="000000" w:fill="FFFFFF"/>
            <w:noWrap/>
            <w:vAlign w:val="center"/>
            <w:hideMark/>
          </w:tcPr>
          <w:p w14:paraId="4CCC68C0"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0,03</w:t>
            </w:r>
          </w:p>
        </w:tc>
        <w:tc>
          <w:tcPr>
            <w:tcW w:w="919" w:type="dxa"/>
            <w:tcBorders>
              <w:top w:val="nil"/>
              <w:left w:val="nil"/>
              <w:bottom w:val="nil"/>
              <w:right w:val="nil"/>
            </w:tcBorders>
            <w:shd w:val="clear" w:color="000000" w:fill="FFFFFF"/>
            <w:noWrap/>
            <w:vAlign w:val="center"/>
            <w:hideMark/>
          </w:tcPr>
          <w:p w14:paraId="58DB5C46"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r>
      <w:tr w:rsidR="009C268F" w:rsidRPr="00312485" w14:paraId="1550B675" w14:textId="77777777" w:rsidTr="00612999">
        <w:trPr>
          <w:trHeight w:val="16"/>
        </w:trPr>
        <w:tc>
          <w:tcPr>
            <w:tcW w:w="406" w:type="dxa"/>
            <w:tcBorders>
              <w:top w:val="nil"/>
              <w:left w:val="nil"/>
              <w:bottom w:val="single" w:sz="4" w:space="0" w:color="auto"/>
              <w:right w:val="nil"/>
            </w:tcBorders>
            <w:shd w:val="clear" w:color="auto" w:fill="auto"/>
            <w:noWrap/>
            <w:vAlign w:val="bottom"/>
            <w:hideMark/>
          </w:tcPr>
          <w:p w14:paraId="46B3E7F1" w14:textId="77777777" w:rsidR="009C268F" w:rsidRPr="00312485" w:rsidRDefault="009C268F" w:rsidP="009C268F">
            <w:pPr>
              <w:ind w:firstLine="0"/>
              <w:jc w:val="left"/>
              <w:rPr>
                <w:rFonts w:ascii="Calibri" w:hAnsi="Calibri" w:cs="Calibri"/>
                <w:color w:val="000000"/>
                <w:sz w:val="16"/>
                <w:szCs w:val="16"/>
                <w:lang w:val="ro-MD"/>
              </w:rPr>
            </w:pPr>
            <w:r w:rsidRPr="00312485">
              <w:rPr>
                <w:rFonts w:ascii="Calibri" w:hAnsi="Calibri" w:cs="Calibri"/>
                <w:color w:val="000000"/>
                <w:sz w:val="16"/>
                <w:szCs w:val="16"/>
                <w:lang w:val="ro-MD"/>
              </w:rPr>
              <w:t> </w:t>
            </w:r>
          </w:p>
        </w:tc>
        <w:tc>
          <w:tcPr>
            <w:tcW w:w="498" w:type="dxa"/>
            <w:gridSpan w:val="2"/>
            <w:tcBorders>
              <w:top w:val="nil"/>
              <w:left w:val="nil"/>
              <w:bottom w:val="single" w:sz="4" w:space="0" w:color="auto"/>
              <w:right w:val="nil"/>
            </w:tcBorders>
            <w:shd w:val="clear" w:color="000000" w:fill="FFFFFF"/>
            <w:vAlign w:val="center"/>
            <w:hideMark/>
          </w:tcPr>
          <w:p w14:paraId="7ED5EB14"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xx</w:t>
            </w:r>
          </w:p>
        </w:tc>
        <w:tc>
          <w:tcPr>
            <w:tcW w:w="1486" w:type="dxa"/>
            <w:tcBorders>
              <w:top w:val="nil"/>
              <w:left w:val="nil"/>
              <w:bottom w:val="single" w:sz="4" w:space="0" w:color="auto"/>
              <w:right w:val="single" w:sz="4" w:space="0" w:color="auto"/>
            </w:tcBorders>
            <w:shd w:val="clear" w:color="000000" w:fill="FFFFFF"/>
            <w:vAlign w:val="center"/>
            <w:hideMark/>
          </w:tcPr>
          <w:p w14:paraId="6FA858FF" w14:textId="77777777" w:rsidR="009C268F" w:rsidRPr="00312485" w:rsidRDefault="009C268F" w:rsidP="00590565">
            <w:pPr>
              <w:ind w:left="-40" w:right="-108" w:firstLine="0"/>
              <w:jc w:val="left"/>
              <w:rPr>
                <w:color w:val="000000"/>
                <w:sz w:val="16"/>
                <w:szCs w:val="16"/>
                <w:lang w:val="ro-MD"/>
              </w:rPr>
            </w:pPr>
            <w:r w:rsidRPr="00312485">
              <w:rPr>
                <w:color w:val="000000"/>
                <w:sz w:val="16"/>
                <w:szCs w:val="16"/>
                <w:lang w:val="ro-MD"/>
              </w:rPr>
              <w:t xml:space="preserve">Rezerva pentru contribuția Guvernului la proiecte investiționale aprobate de către NIP </w:t>
            </w:r>
          </w:p>
        </w:tc>
        <w:tc>
          <w:tcPr>
            <w:tcW w:w="794" w:type="dxa"/>
            <w:tcBorders>
              <w:top w:val="nil"/>
              <w:left w:val="single" w:sz="4" w:space="0" w:color="auto"/>
              <w:bottom w:val="single" w:sz="4" w:space="0" w:color="auto"/>
              <w:right w:val="nil"/>
            </w:tcBorders>
            <w:shd w:val="clear" w:color="000000" w:fill="FFFFFF"/>
            <w:vAlign w:val="center"/>
            <w:hideMark/>
          </w:tcPr>
          <w:p w14:paraId="286B1CDC" w14:textId="77777777" w:rsidR="009C268F" w:rsidRPr="00312485" w:rsidRDefault="009C268F" w:rsidP="009C268F">
            <w:pPr>
              <w:ind w:firstLine="0"/>
              <w:jc w:val="left"/>
              <w:rPr>
                <w:color w:val="000000"/>
                <w:sz w:val="16"/>
                <w:szCs w:val="16"/>
                <w:lang w:val="ro-MD"/>
              </w:rPr>
            </w:pPr>
            <w:r w:rsidRPr="00312485">
              <w:rPr>
                <w:color w:val="000000"/>
                <w:sz w:val="16"/>
                <w:szCs w:val="16"/>
                <w:lang w:val="ro-MD"/>
              </w:rPr>
              <w:t> </w:t>
            </w:r>
          </w:p>
        </w:tc>
        <w:tc>
          <w:tcPr>
            <w:tcW w:w="919" w:type="dxa"/>
            <w:tcBorders>
              <w:top w:val="nil"/>
              <w:left w:val="nil"/>
              <w:bottom w:val="single" w:sz="4" w:space="0" w:color="auto"/>
              <w:right w:val="nil"/>
            </w:tcBorders>
            <w:shd w:val="clear" w:color="000000" w:fill="FFFFFF"/>
            <w:noWrap/>
            <w:vAlign w:val="center"/>
            <w:hideMark/>
          </w:tcPr>
          <w:p w14:paraId="303EDEE4"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300,0</w:t>
            </w:r>
          </w:p>
        </w:tc>
        <w:tc>
          <w:tcPr>
            <w:tcW w:w="919" w:type="dxa"/>
            <w:tcBorders>
              <w:top w:val="nil"/>
              <w:left w:val="nil"/>
              <w:bottom w:val="single" w:sz="4" w:space="0" w:color="auto"/>
              <w:right w:val="nil"/>
            </w:tcBorders>
            <w:shd w:val="clear" w:color="000000" w:fill="FFFFFF"/>
            <w:noWrap/>
            <w:vAlign w:val="center"/>
            <w:hideMark/>
          </w:tcPr>
          <w:p w14:paraId="76F9A8CA"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1 000,0</w:t>
            </w:r>
          </w:p>
        </w:tc>
        <w:tc>
          <w:tcPr>
            <w:tcW w:w="919" w:type="dxa"/>
            <w:tcBorders>
              <w:top w:val="nil"/>
              <w:left w:val="nil"/>
              <w:bottom w:val="single" w:sz="4" w:space="0" w:color="auto"/>
              <w:right w:val="nil"/>
            </w:tcBorders>
            <w:shd w:val="clear" w:color="000000" w:fill="FFFFFF"/>
            <w:noWrap/>
            <w:vAlign w:val="center"/>
            <w:hideMark/>
          </w:tcPr>
          <w:p w14:paraId="62CD5706" w14:textId="77777777" w:rsidR="009C268F" w:rsidRPr="00312485" w:rsidRDefault="009C268F" w:rsidP="009C268F">
            <w:pPr>
              <w:ind w:firstLine="0"/>
              <w:jc w:val="right"/>
              <w:rPr>
                <w:color w:val="000000"/>
                <w:sz w:val="16"/>
                <w:szCs w:val="16"/>
                <w:lang w:val="ro-MD"/>
              </w:rPr>
            </w:pPr>
            <w:r w:rsidRPr="00312485">
              <w:rPr>
                <w:color w:val="000000"/>
                <w:sz w:val="16"/>
                <w:szCs w:val="16"/>
                <w:lang w:val="ro-MD"/>
              </w:rPr>
              <w:t>3 000,0</w:t>
            </w:r>
          </w:p>
        </w:tc>
        <w:tc>
          <w:tcPr>
            <w:tcW w:w="794" w:type="dxa"/>
            <w:tcBorders>
              <w:top w:val="nil"/>
              <w:left w:val="dashed" w:sz="4" w:space="0" w:color="auto"/>
              <w:bottom w:val="single" w:sz="4" w:space="0" w:color="auto"/>
              <w:right w:val="nil"/>
            </w:tcBorders>
            <w:shd w:val="clear" w:color="000000" w:fill="FFFFFF"/>
            <w:noWrap/>
            <w:vAlign w:val="center"/>
            <w:hideMark/>
          </w:tcPr>
          <w:p w14:paraId="7A9074F1"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 </w:t>
            </w:r>
          </w:p>
        </w:tc>
        <w:tc>
          <w:tcPr>
            <w:tcW w:w="919" w:type="dxa"/>
            <w:tcBorders>
              <w:top w:val="nil"/>
              <w:left w:val="nil"/>
              <w:bottom w:val="single" w:sz="4" w:space="0" w:color="auto"/>
              <w:right w:val="nil"/>
            </w:tcBorders>
            <w:shd w:val="clear" w:color="000000" w:fill="FFFFFF"/>
            <w:noWrap/>
            <w:vAlign w:val="center"/>
            <w:hideMark/>
          </w:tcPr>
          <w:p w14:paraId="12E333BF"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8,2</w:t>
            </w:r>
          </w:p>
        </w:tc>
        <w:tc>
          <w:tcPr>
            <w:tcW w:w="919" w:type="dxa"/>
            <w:tcBorders>
              <w:top w:val="nil"/>
              <w:left w:val="nil"/>
              <w:bottom w:val="single" w:sz="4" w:space="0" w:color="auto"/>
              <w:right w:val="nil"/>
            </w:tcBorders>
            <w:shd w:val="clear" w:color="000000" w:fill="FFFFFF"/>
            <w:noWrap/>
            <w:vAlign w:val="center"/>
            <w:hideMark/>
          </w:tcPr>
          <w:p w14:paraId="3144D2F8"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14,7</w:t>
            </w:r>
          </w:p>
        </w:tc>
        <w:tc>
          <w:tcPr>
            <w:tcW w:w="919" w:type="dxa"/>
            <w:tcBorders>
              <w:top w:val="nil"/>
              <w:left w:val="nil"/>
              <w:bottom w:val="single" w:sz="4" w:space="0" w:color="auto"/>
              <w:right w:val="nil"/>
            </w:tcBorders>
            <w:shd w:val="clear" w:color="000000" w:fill="FFFFFF"/>
            <w:noWrap/>
            <w:vAlign w:val="center"/>
            <w:hideMark/>
          </w:tcPr>
          <w:p w14:paraId="385E50DB" w14:textId="77777777" w:rsidR="009C268F" w:rsidRPr="00312485" w:rsidRDefault="009C268F" w:rsidP="009C268F">
            <w:pPr>
              <w:ind w:firstLine="0"/>
              <w:jc w:val="center"/>
              <w:rPr>
                <w:color w:val="000000"/>
                <w:sz w:val="16"/>
                <w:szCs w:val="16"/>
                <w:lang w:val="ro-MD"/>
              </w:rPr>
            </w:pPr>
            <w:r w:rsidRPr="00312485">
              <w:rPr>
                <w:color w:val="000000"/>
                <w:sz w:val="16"/>
                <w:szCs w:val="16"/>
                <w:lang w:val="ro-MD"/>
              </w:rPr>
              <w:t>32,2</w:t>
            </w:r>
          </w:p>
        </w:tc>
      </w:tr>
    </w:tbl>
    <w:p w14:paraId="40109B55" w14:textId="70DA1295" w:rsidR="00787016" w:rsidRPr="00312485" w:rsidRDefault="00787016" w:rsidP="00266FF7">
      <w:pPr>
        <w:autoSpaceDE w:val="0"/>
        <w:autoSpaceDN w:val="0"/>
        <w:adjustRightInd w:val="0"/>
        <w:ind w:firstLine="0"/>
        <w:rPr>
          <w:sz w:val="24"/>
          <w:szCs w:val="24"/>
          <w:lang w:val="ro-MD" w:eastAsia="ru-RU"/>
        </w:rPr>
      </w:pPr>
    </w:p>
    <w:p w14:paraId="22CEDFB9" w14:textId="3EEA532E" w:rsidR="00787016" w:rsidRPr="00312485" w:rsidRDefault="00787016" w:rsidP="00266FF7">
      <w:pPr>
        <w:autoSpaceDE w:val="0"/>
        <w:autoSpaceDN w:val="0"/>
        <w:adjustRightInd w:val="0"/>
        <w:ind w:firstLine="0"/>
        <w:rPr>
          <w:sz w:val="24"/>
          <w:szCs w:val="24"/>
          <w:lang w:val="ro-MD" w:eastAsia="ru-RU"/>
        </w:rPr>
      </w:pPr>
    </w:p>
    <w:p w14:paraId="463E42D5" w14:textId="59974F7F" w:rsidR="005F44EA" w:rsidRPr="00312485" w:rsidRDefault="00B526F9" w:rsidP="00780169">
      <w:pPr>
        <w:shd w:val="clear" w:color="auto" w:fill="DBE5F1" w:themeFill="accent1" w:themeFillTint="33"/>
        <w:jc w:val="center"/>
        <w:rPr>
          <w:sz w:val="24"/>
          <w:szCs w:val="24"/>
          <w:lang w:val="ro-MD" w:eastAsia="ro-RO"/>
        </w:rPr>
      </w:pPr>
      <w:bookmarkStart w:id="4" w:name="_Toc188015223"/>
      <w:r w:rsidRPr="00312485">
        <w:rPr>
          <w:rFonts w:eastAsiaTheme="majorEastAsia"/>
          <w:b/>
          <w:sz w:val="24"/>
          <w:szCs w:val="24"/>
          <w:lang w:val="ro-MD"/>
        </w:rPr>
        <w:t xml:space="preserve">V. </w:t>
      </w:r>
      <w:r w:rsidR="005F44EA" w:rsidRPr="00312485">
        <w:rPr>
          <w:rFonts w:eastAsiaTheme="majorEastAsia"/>
          <w:b/>
          <w:sz w:val="24"/>
          <w:szCs w:val="24"/>
          <w:lang w:val="ro-MD"/>
        </w:rPr>
        <w:t>C</w:t>
      </w:r>
      <w:r w:rsidR="009C222A" w:rsidRPr="00312485">
        <w:rPr>
          <w:rFonts w:eastAsiaTheme="majorEastAsia"/>
          <w:b/>
          <w:sz w:val="24"/>
          <w:szCs w:val="24"/>
          <w:lang w:val="ro-MD"/>
        </w:rPr>
        <w:t>ONSOLIDAREA BUGETAR</w:t>
      </w:r>
      <w:r w:rsidR="00224E00" w:rsidRPr="00312485">
        <w:rPr>
          <w:rFonts w:eastAsiaTheme="majorEastAsia"/>
          <w:b/>
          <w:sz w:val="24"/>
          <w:szCs w:val="24"/>
          <w:lang w:val="ro-MD"/>
        </w:rPr>
        <w:t>-</w:t>
      </w:r>
      <w:r w:rsidR="009C222A" w:rsidRPr="00312485">
        <w:rPr>
          <w:rFonts w:eastAsiaTheme="majorEastAsia"/>
          <w:b/>
          <w:sz w:val="24"/>
          <w:szCs w:val="24"/>
          <w:lang w:val="ro-MD"/>
        </w:rPr>
        <w:t>FISCALĂ</w:t>
      </w:r>
      <w:r w:rsidR="005F44EA" w:rsidRPr="00312485">
        <w:rPr>
          <w:b/>
          <w:bCs/>
          <w:iCs/>
          <w:sz w:val="24"/>
          <w:szCs w:val="24"/>
          <w:lang w:val="ro-MD" w:eastAsia="ro-RO"/>
        </w:rPr>
        <w:t xml:space="preserve">: regula </w:t>
      </w:r>
      <w:r w:rsidR="00E062CC" w:rsidRPr="00312485">
        <w:rPr>
          <w:b/>
          <w:bCs/>
          <w:iCs/>
          <w:sz w:val="24"/>
          <w:szCs w:val="24"/>
          <w:lang w:val="ro-MD" w:eastAsia="ro-RO"/>
        </w:rPr>
        <w:t>bugetar-</w:t>
      </w:r>
      <w:r w:rsidR="005F44EA" w:rsidRPr="00312485">
        <w:rPr>
          <w:b/>
          <w:bCs/>
          <w:iCs/>
          <w:sz w:val="24"/>
          <w:szCs w:val="24"/>
          <w:lang w:val="ro-MD" w:eastAsia="ro-RO"/>
        </w:rPr>
        <w:t>fiscală</w:t>
      </w:r>
      <w:r w:rsidR="000834FF" w:rsidRPr="00312485">
        <w:rPr>
          <w:b/>
          <w:bCs/>
          <w:iCs/>
          <w:sz w:val="24"/>
          <w:szCs w:val="24"/>
          <w:lang w:val="ro-MD" w:eastAsia="ro-RO"/>
        </w:rPr>
        <w:t>,</w:t>
      </w:r>
      <w:r w:rsidR="005F44EA" w:rsidRPr="00312485">
        <w:rPr>
          <w:b/>
          <w:bCs/>
          <w:iCs/>
          <w:sz w:val="24"/>
          <w:szCs w:val="24"/>
          <w:lang w:val="ro-MD" w:eastAsia="ro-RO"/>
        </w:rPr>
        <w:t xml:space="preserve"> </w:t>
      </w:r>
      <w:r w:rsidR="000834FF" w:rsidRPr="00312485">
        <w:rPr>
          <w:b/>
          <w:bCs/>
          <w:iCs/>
          <w:sz w:val="24"/>
          <w:szCs w:val="24"/>
          <w:lang w:val="ro-MD" w:eastAsia="ro-RO"/>
        </w:rPr>
        <w:t xml:space="preserve">soldul structural </w:t>
      </w:r>
      <w:r w:rsidR="005F44EA" w:rsidRPr="00312485">
        <w:rPr>
          <w:b/>
          <w:bCs/>
          <w:iCs/>
          <w:sz w:val="24"/>
          <w:szCs w:val="24"/>
          <w:lang w:val="ro-MD" w:eastAsia="ro-RO"/>
        </w:rPr>
        <w:t xml:space="preserve">și </w:t>
      </w:r>
      <w:r w:rsidR="004C4F56" w:rsidRPr="00312485">
        <w:rPr>
          <w:b/>
          <w:bCs/>
          <w:iCs/>
          <w:sz w:val="24"/>
          <w:szCs w:val="24"/>
          <w:lang w:val="ro-MD" w:eastAsia="ro-RO"/>
        </w:rPr>
        <w:t xml:space="preserve">eficientizarea </w:t>
      </w:r>
      <w:r w:rsidR="005F44EA" w:rsidRPr="00312485">
        <w:rPr>
          <w:b/>
          <w:bCs/>
          <w:iCs/>
          <w:sz w:val="24"/>
          <w:szCs w:val="24"/>
          <w:lang w:val="ro-MD" w:eastAsia="ro-RO"/>
        </w:rPr>
        <w:t>cheltuielilor</w:t>
      </w:r>
      <w:r w:rsidR="004C4F56" w:rsidRPr="00312485">
        <w:rPr>
          <w:b/>
          <w:bCs/>
          <w:iCs/>
          <w:sz w:val="24"/>
          <w:szCs w:val="24"/>
          <w:lang w:val="ro-MD" w:eastAsia="ro-RO"/>
        </w:rPr>
        <w:t xml:space="preserve"> publice</w:t>
      </w:r>
    </w:p>
    <w:p w14:paraId="5D96B194" w14:textId="77777777" w:rsidR="005F44EA" w:rsidRPr="00312485" w:rsidRDefault="005F44EA" w:rsidP="005F44EA">
      <w:pPr>
        <w:shd w:val="clear" w:color="auto" w:fill="FFFFFF"/>
        <w:ind w:firstLine="0"/>
        <w:jc w:val="left"/>
        <w:rPr>
          <w:color w:val="000000"/>
          <w:sz w:val="24"/>
          <w:szCs w:val="24"/>
          <w:highlight w:val="yellow"/>
          <w:lang w:val="ro-MD" w:eastAsia="ro-RO"/>
        </w:rPr>
      </w:pPr>
    </w:p>
    <w:p w14:paraId="7927708D" w14:textId="67405314" w:rsidR="005F44EA" w:rsidRPr="00312485" w:rsidRDefault="00780169" w:rsidP="009C222A">
      <w:pPr>
        <w:shd w:val="clear" w:color="auto" w:fill="FFFFFF"/>
        <w:ind w:firstLine="567"/>
        <w:rPr>
          <w:color w:val="000000"/>
          <w:sz w:val="24"/>
          <w:szCs w:val="24"/>
          <w:lang w:val="ro-MD" w:eastAsia="ro-RO"/>
        </w:rPr>
      </w:pPr>
      <w:r w:rsidRPr="00312485">
        <w:rPr>
          <w:b/>
          <w:bCs/>
          <w:iCs/>
          <w:color w:val="000000"/>
          <w:sz w:val="24"/>
          <w:szCs w:val="24"/>
          <w:lang w:val="ro-MD" w:eastAsia="ro-RO"/>
        </w:rPr>
        <w:t>A.</w:t>
      </w:r>
      <w:r w:rsidR="00B774FE">
        <w:rPr>
          <w:b/>
          <w:bCs/>
          <w:iCs/>
          <w:color w:val="000000"/>
          <w:sz w:val="24"/>
          <w:szCs w:val="24"/>
          <w:lang w:val="ro-MD" w:eastAsia="ro-RO"/>
        </w:rPr>
        <w:t xml:space="preserve"> Compararea</w:t>
      </w:r>
      <w:r w:rsidR="005F44EA" w:rsidRPr="00312485">
        <w:rPr>
          <w:b/>
          <w:bCs/>
          <w:iCs/>
          <w:color w:val="000000"/>
          <w:sz w:val="24"/>
          <w:szCs w:val="24"/>
          <w:lang w:val="ro-MD" w:eastAsia="ro-RO"/>
        </w:rPr>
        <w:t xml:space="preserve"> cu Cadrul </w:t>
      </w:r>
      <w:r w:rsidR="00FC334D" w:rsidRPr="00312485">
        <w:rPr>
          <w:b/>
          <w:bCs/>
          <w:iCs/>
          <w:color w:val="000000"/>
          <w:sz w:val="24"/>
          <w:szCs w:val="24"/>
          <w:lang w:val="ro-MD" w:eastAsia="ro-RO"/>
        </w:rPr>
        <w:t>b</w:t>
      </w:r>
      <w:r w:rsidR="005F44EA" w:rsidRPr="00312485">
        <w:rPr>
          <w:b/>
          <w:bCs/>
          <w:iCs/>
          <w:color w:val="000000"/>
          <w:sz w:val="24"/>
          <w:szCs w:val="24"/>
          <w:lang w:val="ro-MD" w:eastAsia="ro-RO"/>
        </w:rPr>
        <w:t xml:space="preserve">ugetar pe </w:t>
      </w:r>
      <w:r w:rsidR="00FC334D" w:rsidRPr="00312485">
        <w:rPr>
          <w:b/>
          <w:bCs/>
          <w:iCs/>
          <w:color w:val="000000"/>
          <w:sz w:val="24"/>
          <w:szCs w:val="24"/>
          <w:lang w:val="ro-MD" w:eastAsia="ro-RO"/>
        </w:rPr>
        <w:t>t</w:t>
      </w:r>
      <w:r w:rsidR="005F44EA" w:rsidRPr="00312485">
        <w:rPr>
          <w:b/>
          <w:bCs/>
          <w:iCs/>
          <w:color w:val="000000"/>
          <w:sz w:val="24"/>
          <w:szCs w:val="24"/>
          <w:lang w:val="ro-MD" w:eastAsia="ro-RO"/>
        </w:rPr>
        <w:t xml:space="preserve">ermen </w:t>
      </w:r>
      <w:r w:rsidR="00FC334D" w:rsidRPr="00312485">
        <w:rPr>
          <w:b/>
          <w:bCs/>
          <w:iCs/>
          <w:color w:val="000000"/>
          <w:sz w:val="24"/>
          <w:szCs w:val="24"/>
          <w:lang w:val="ro-MD" w:eastAsia="ro-RO"/>
        </w:rPr>
        <w:t>mediu</w:t>
      </w:r>
      <w:r w:rsidR="005F44EA" w:rsidRPr="00312485">
        <w:rPr>
          <w:b/>
          <w:bCs/>
          <w:iCs/>
          <w:color w:val="000000"/>
          <w:sz w:val="24"/>
          <w:szCs w:val="24"/>
          <w:lang w:val="ro-MD" w:eastAsia="ro-RO"/>
        </w:rPr>
        <w:t xml:space="preserve"> 2025–2027</w:t>
      </w:r>
    </w:p>
    <w:p w14:paraId="5522F9FA" w14:textId="77777777" w:rsidR="00532D9F" w:rsidRPr="00312485" w:rsidRDefault="00532D9F" w:rsidP="005F44EA">
      <w:pPr>
        <w:shd w:val="clear" w:color="auto" w:fill="FFFFFF"/>
        <w:ind w:firstLine="0"/>
        <w:jc w:val="left"/>
        <w:rPr>
          <w:b/>
          <w:bCs/>
          <w:iCs/>
          <w:color w:val="000000"/>
          <w:sz w:val="24"/>
          <w:szCs w:val="24"/>
          <w:lang w:val="ro-MD" w:eastAsia="ro-RO"/>
        </w:rPr>
      </w:pPr>
    </w:p>
    <w:p w14:paraId="11F6C00E" w14:textId="77777777" w:rsidR="00AC629D" w:rsidRPr="00312485" w:rsidRDefault="00532D9F" w:rsidP="009F1D57">
      <w:pPr>
        <w:shd w:val="clear" w:color="auto" w:fill="FFFFFF"/>
        <w:ind w:firstLine="567"/>
        <w:rPr>
          <w:color w:val="000000"/>
          <w:sz w:val="24"/>
          <w:szCs w:val="24"/>
          <w:shd w:val="clear" w:color="auto" w:fill="FFFFFF"/>
          <w:lang w:val="ro-MD"/>
        </w:rPr>
      </w:pPr>
      <w:r w:rsidRPr="00312485">
        <w:rPr>
          <w:bCs/>
          <w:iCs/>
          <w:color w:val="000000"/>
          <w:sz w:val="24"/>
          <w:szCs w:val="24"/>
          <w:lang w:val="ro-MD" w:eastAsia="ro-RO"/>
        </w:rPr>
        <w:t>Proiec</w:t>
      </w:r>
      <w:r w:rsidR="00D34CEE" w:rsidRPr="00312485">
        <w:rPr>
          <w:bCs/>
          <w:iCs/>
          <w:color w:val="000000"/>
          <w:sz w:val="24"/>
          <w:szCs w:val="24"/>
          <w:lang w:val="ro-MD" w:eastAsia="ro-RO"/>
        </w:rPr>
        <w:t>ț</w:t>
      </w:r>
      <w:r w:rsidRPr="00312485">
        <w:rPr>
          <w:bCs/>
          <w:iCs/>
          <w:color w:val="000000"/>
          <w:sz w:val="24"/>
          <w:szCs w:val="24"/>
          <w:lang w:val="ro-MD" w:eastAsia="ro-RO"/>
        </w:rPr>
        <w:t>iile pe te</w:t>
      </w:r>
      <w:r w:rsidR="00D34CEE" w:rsidRPr="00312485">
        <w:rPr>
          <w:bCs/>
          <w:iCs/>
          <w:color w:val="000000"/>
          <w:sz w:val="24"/>
          <w:szCs w:val="24"/>
          <w:lang w:val="ro-MD" w:eastAsia="ro-RO"/>
        </w:rPr>
        <w:t>r</w:t>
      </w:r>
      <w:r w:rsidRPr="00312485">
        <w:rPr>
          <w:bCs/>
          <w:iCs/>
          <w:color w:val="000000"/>
          <w:sz w:val="24"/>
          <w:szCs w:val="24"/>
          <w:lang w:val="ro-MD" w:eastAsia="ro-RO"/>
        </w:rPr>
        <w:t xml:space="preserve">men mediu pentru anii 2026-2028 au fost modificate semnificativ in raport cu CBTM 2025-2027 ca urmare a </w:t>
      </w:r>
      <w:r w:rsidR="009F1D57" w:rsidRPr="00312485">
        <w:rPr>
          <w:color w:val="000000"/>
          <w:sz w:val="24"/>
          <w:szCs w:val="24"/>
          <w:shd w:val="clear" w:color="auto" w:fill="FFFFFF"/>
          <w:lang w:val="ro-MD"/>
        </w:rPr>
        <w:t>includerii măsurilor definite în Agenda de reforme aferente Planului de creștere economică a Republicii Moldova pentru anii 2025-2027, Planul Național de Acțiuni pentru aderarea Republicii Moldova la Uniunea Europeană pentru anii 2025-2029, Planul național de dezvoltare pentru anii 2026-2028, precum și alte angajamente față de partenerii de dezvoltare. </w:t>
      </w:r>
    </w:p>
    <w:p w14:paraId="17F1879D" w14:textId="32DC3884" w:rsidR="00780169" w:rsidRPr="00312485" w:rsidRDefault="00AC629D" w:rsidP="009F1D57">
      <w:pPr>
        <w:shd w:val="clear" w:color="auto" w:fill="FFFFFF"/>
        <w:ind w:firstLine="567"/>
        <w:rPr>
          <w:bCs/>
          <w:iCs/>
          <w:color w:val="000000"/>
          <w:sz w:val="24"/>
          <w:szCs w:val="24"/>
          <w:lang w:val="ro-MD" w:eastAsia="ro-RO"/>
        </w:rPr>
      </w:pPr>
      <w:r w:rsidRPr="00312485">
        <w:rPr>
          <w:color w:val="000000"/>
          <w:sz w:val="24"/>
          <w:szCs w:val="24"/>
          <w:shd w:val="clear" w:color="auto" w:fill="FFFFFF"/>
          <w:lang w:val="ro-MD"/>
        </w:rPr>
        <w:t>În ceea ce privește veniturile bugetare, a fost pus accentul pe eforturi de mobilizare a veniturilor susținute de reforme aflate în desfășurare în administrarea fiscală și vamală</w:t>
      </w:r>
      <w:r w:rsidR="009F3093" w:rsidRPr="00312485">
        <w:rPr>
          <w:color w:val="000000"/>
          <w:sz w:val="24"/>
          <w:szCs w:val="24"/>
          <w:shd w:val="clear" w:color="auto" w:fill="FFFFFF"/>
          <w:lang w:val="ro-MD"/>
        </w:rPr>
        <w:t>,</w:t>
      </w:r>
      <w:r w:rsidRPr="00312485">
        <w:rPr>
          <w:color w:val="000000"/>
          <w:sz w:val="24"/>
          <w:szCs w:val="24"/>
          <w:shd w:val="clear" w:color="auto" w:fill="FFFFFF"/>
          <w:lang w:val="ro-MD"/>
        </w:rPr>
        <w:t xml:space="preserve"> dar și prin consolidarea conformității fiscale.</w:t>
      </w:r>
    </w:p>
    <w:p w14:paraId="08C68CE4" w14:textId="77777777" w:rsidR="003926C2" w:rsidRDefault="003926C2" w:rsidP="00E549A3">
      <w:pPr>
        <w:pStyle w:val="Table"/>
        <w:spacing w:line="240" w:lineRule="auto"/>
        <w:ind w:firstLine="567"/>
        <w:contextualSpacing/>
        <w:jc w:val="both"/>
        <w:rPr>
          <w:rFonts w:ascii="Times New Roman" w:hAnsi="Times New Roman"/>
          <w:b w:val="0"/>
          <w:color w:val="auto"/>
          <w:sz w:val="24"/>
          <w:szCs w:val="24"/>
          <w:lang w:val="ro-MD" w:eastAsia="ru-RU"/>
        </w:rPr>
      </w:pPr>
    </w:p>
    <w:p w14:paraId="15B74336" w14:textId="77777777" w:rsidR="00751469" w:rsidRDefault="00751469" w:rsidP="00E549A3">
      <w:pPr>
        <w:pStyle w:val="Table"/>
        <w:spacing w:line="240" w:lineRule="auto"/>
        <w:ind w:firstLine="567"/>
        <w:contextualSpacing/>
        <w:jc w:val="both"/>
        <w:rPr>
          <w:rFonts w:ascii="Times New Roman" w:hAnsi="Times New Roman"/>
          <w:b w:val="0"/>
          <w:color w:val="auto"/>
          <w:sz w:val="24"/>
          <w:szCs w:val="24"/>
          <w:lang w:val="ro-MD" w:eastAsia="ru-RU"/>
        </w:rPr>
      </w:pPr>
    </w:p>
    <w:p w14:paraId="660C8004" w14:textId="77777777" w:rsidR="00751469" w:rsidRDefault="00751469" w:rsidP="00E549A3">
      <w:pPr>
        <w:pStyle w:val="Table"/>
        <w:spacing w:line="240" w:lineRule="auto"/>
        <w:ind w:firstLine="567"/>
        <w:contextualSpacing/>
        <w:jc w:val="both"/>
        <w:rPr>
          <w:rFonts w:ascii="Times New Roman" w:hAnsi="Times New Roman"/>
          <w:b w:val="0"/>
          <w:color w:val="auto"/>
          <w:sz w:val="24"/>
          <w:szCs w:val="24"/>
          <w:lang w:val="ro-MD" w:eastAsia="ru-RU"/>
        </w:rPr>
      </w:pPr>
    </w:p>
    <w:p w14:paraId="61052C07" w14:textId="054C1DBA" w:rsidR="00E549A3" w:rsidRPr="00312485" w:rsidRDefault="00E549A3" w:rsidP="00E549A3">
      <w:pPr>
        <w:pStyle w:val="Table"/>
        <w:spacing w:line="240" w:lineRule="auto"/>
        <w:ind w:firstLine="567"/>
        <w:contextualSpacing/>
        <w:jc w:val="both"/>
        <w:rPr>
          <w:b w:val="0"/>
          <w:bCs/>
          <w:szCs w:val="18"/>
          <w:lang w:val="ro-MD"/>
        </w:rPr>
      </w:pPr>
      <w:r w:rsidRPr="00312485">
        <w:rPr>
          <w:rFonts w:ascii="Times New Roman" w:hAnsi="Times New Roman"/>
          <w:b w:val="0"/>
          <w:color w:val="auto"/>
          <w:sz w:val="24"/>
          <w:szCs w:val="24"/>
          <w:lang w:val="ro-MD" w:eastAsia="ru-RU"/>
        </w:rPr>
        <w:lastRenderedPageBreak/>
        <w:t>Devierile față de CBTM (202</w:t>
      </w:r>
      <w:r w:rsidR="00B65ACD">
        <w:rPr>
          <w:rFonts w:ascii="Times New Roman" w:hAnsi="Times New Roman"/>
          <w:b w:val="0"/>
          <w:color w:val="auto"/>
          <w:sz w:val="24"/>
          <w:szCs w:val="24"/>
          <w:lang w:val="ro-MD" w:eastAsia="ru-RU"/>
        </w:rPr>
        <w:t>5</w:t>
      </w:r>
      <w:r w:rsidRPr="00312485">
        <w:rPr>
          <w:rFonts w:ascii="Times New Roman" w:hAnsi="Times New Roman"/>
          <w:b w:val="0"/>
          <w:color w:val="auto"/>
          <w:sz w:val="24"/>
          <w:szCs w:val="24"/>
          <w:lang w:val="ro-MD" w:eastAsia="ru-RU"/>
        </w:rPr>
        <w:t>-202</w:t>
      </w:r>
      <w:r w:rsidR="00B65ACD">
        <w:rPr>
          <w:rFonts w:ascii="Times New Roman" w:hAnsi="Times New Roman"/>
          <w:b w:val="0"/>
          <w:color w:val="auto"/>
          <w:sz w:val="24"/>
          <w:szCs w:val="24"/>
          <w:lang w:val="ro-MD" w:eastAsia="ru-RU"/>
        </w:rPr>
        <w:t>7</w:t>
      </w:r>
      <w:r w:rsidRPr="00312485">
        <w:rPr>
          <w:rFonts w:ascii="Times New Roman" w:hAnsi="Times New Roman"/>
          <w:b w:val="0"/>
          <w:color w:val="auto"/>
          <w:sz w:val="24"/>
          <w:szCs w:val="24"/>
          <w:lang w:val="ro-MD" w:eastAsia="ru-RU"/>
        </w:rPr>
        <w:t xml:space="preserve">) pe indicatorii bugetului public național se prezintă în tabelul </w:t>
      </w:r>
      <w:r w:rsidR="00462C7C" w:rsidRPr="00312485">
        <w:rPr>
          <w:rFonts w:ascii="Times New Roman" w:hAnsi="Times New Roman"/>
          <w:b w:val="0"/>
          <w:color w:val="auto"/>
          <w:sz w:val="24"/>
          <w:szCs w:val="24"/>
          <w:lang w:val="ro-MD" w:eastAsia="ru-RU"/>
        </w:rPr>
        <w:t>5</w:t>
      </w:r>
      <w:r w:rsidRPr="00312485">
        <w:rPr>
          <w:rFonts w:ascii="Times New Roman" w:hAnsi="Times New Roman"/>
          <w:b w:val="0"/>
          <w:color w:val="auto"/>
          <w:sz w:val="24"/>
          <w:szCs w:val="24"/>
          <w:lang w:val="ro-MD" w:eastAsia="ru-RU"/>
        </w:rPr>
        <w:t>.</w:t>
      </w:r>
      <w:r w:rsidR="00462C7C" w:rsidRPr="00312485">
        <w:rPr>
          <w:rFonts w:ascii="Times New Roman" w:hAnsi="Times New Roman"/>
          <w:b w:val="0"/>
          <w:color w:val="auto"/>
          <w:sz w:val="24"/>
          <w:szCs w:val="24"/>
          <w:lang w:val="ro-MD" w:eastAsia="ru-RU"/>
        </w:rPr>
        <w:t>1</w:t>
      </w:r>
      <w:r w:rsidRPr="00312485">
        <w:rPr>
          <w:rFonts w:ascii="Times New Roman" w:hAnsi="Times New Roman"/>
          <w:b w:val="0"/>
          <w:color w:val="auto"/>
          <w:sz w:val="24"/>
          <w:szCs w:val="24"/>
          <w:lang w:val="ro-MD" w:eastAsia="ru-RU"/>
        </w:rPr>
        <w:t xml:space="preserve">. </w:t>
      </w:r>
    </w:p>
    <w:p w14:paraId="1E76F378" w14:textId="341FE660" w:rsidR="00E549A3" w:rsidRPr="00312485" w:rsidRDefault="00E549A3" w:rsidP="00E549A3">
      <w:pPr>
        <w:shd w:val="clear" w:color="auto" w:fill="FFFFFF"/>
        <w:spacing w:before="240"/>
        <w:ind w:firstLine="567"/>
        <w:contextualSpacing/>
        <w:jc w:val="right"/>
        <w:rPr>
          <w:rFonts w:eastAsia="Calibri"/>
          <w:b/>
          <w:bCs/>
          <w:sz w:val="22"/>
          <w:szCs w:val="18"/>
          <w:lang w:val="ro-MD"/>
        </w:rPr>
      </w:pPr>
      <w:r w:rsidRPr="00312485">
        <w:rPr>
          <w:rFonts w:eastAsia="Calibri"/>
          <w:b/>
          <w:bCs/>
          <w:sz w:val="22"/>
          <w:szCs w:val="18"/>
          <w:lang w:val="ro-MD"/>
        </w:rPr>
        <w:t xml:space="preserve">Tabelul </w:t>
      </w:r>
      <w:r w:rsidR="00462C7C" w:rsidRPr="00312485">
        <w:rPr>
          <w:rFonts w:eastAsia="Calibri"/>
          <w:b/>
          <w:bCs/>
          <w:sz w:val="22"/>
          <w:szCs w:val="18"/>
          <w:lang w:val="ro-MD"/>
        </w:rPr>
        <w:t>5</w:t>
      </w:r>
      <w:r w:rsidRPr="00312485">
        <w:rPr>
          <w:rFonts w:eastAsia="Calibri"/>
          <w:b/>
          <w:bCs/>
          <w:sz w:val="22"/>
          <w:szCs w:val="18"/>
          <w:lang w:val="ro-MD"/>
        </w:rPr>
        <w:t>.</w:t>
      </w:r>
      <w:r w:rsidR="00462C7C" w:rsidRPr="00312485">
        <w:rPr>
          <w:rFonts w:eastAsia="Calibri"/>
          <w:b/>
          <w:bCs/>
          <w:sz w:val="22"/>
          <w:szCs w:val="18"/>
          <w:lang w:val="ro-MD"/>
        </w:rPr>
        <w:t>1</w:t>
      </w:r>
    </w:p>
    <w:p w14:paraId="5466FDC9" w14:textId="77777777" w:rsidR="00E549A3" w:rsidRPr="00312485" w:rsidRDefault="00E549A3" w:rsidP="00E549A3">
      <w:pPr>
        <w:shd w:val="clear" w:color="auto" w:fill="FFFFFF"/>
        <w:spacing w:before="240"/>
        <w:ind w:firstLine="567"/>
        <w:contextualSpacing/>
        <w:jc w:val="right"/>
        <w:rPr>
          <w:rFonts w:eastAsia="Calibri"/>
          <w:b/>
          <w:bCs/>
          <w:szCs w:val="18"/>
          <w:highlight w:val="yellow"/>
          <w:lang w:val="ro-MD"/>
        </w:rPr>
      </w:pPr>
    </w:p>
    <w:tbl>
      <w:tblPr>
        <w:tblW w:w="5000" w:type="pct"/>
        <w:jc w:val="center"/>
        <w:tblBorders>
          <w:bottom w:val="single" w:sz="4" w:space="0" w:color="auto"/>
        </w:tblBorders>
        <w:tblCellMar>
          <w:top w:w="15" w:type="dxa"/>
          <w:left w:w="15" w:type="dxa"/>
          <w:bottom w:w="15" w:type="dxa"/>
          <w:right w:w="15" w:type="dxa"/>
        </w:tblCellMar>
        <w:tblLook w:val="04A0" w:firstRow="1" w:lastRow="0" w:firstColumn="1" w:lastColumn="0" w:noHBand="0" w:noVBand="1"/>
      </w:tblPr>
      <w:tblGrid>
        <w:gridCol w:w="2541"/>
        <w:gridCol w:w="793"/>
        <w:gridCol w:w="793"/>
        <w:gridCol w:w="833"/>
        <w:gridCol w:w="835"/>
        <w:gridCol w:w="808"/>
        <w:gridCol w:w="808"/>
        <w:gridCol w:w="854"/>
        <w:gridCol w:w="854"/>
      </w:tblGrid>
      <w:tr w:rsidR="00E549A3" w:rsidRPr="00312485" w14:paraId="34C969CE" w14:textId="77777777" w:rsidTr="005864B9">
        <w:trPr>
          <w:tblHeader/>
          <w:jc w:val="center"/>
        </w:trPr>
        <w:tc>
          <w:tcPr>
            <w:tcW w:w="1393" w:type="pct"/>
            <w:vMerge w:val="restart"/>
            <w:tcBorders>
              <w:top w:val="single" w:sz="4" w:space="0" w:color="auto"/>
              <w:left w:val="single" w:sz="4" w:space="0" w:color="auto"/>
              <w:bottom w:val="nil"/>
              <w:right w:val="single" w:sz="4" w:space="0" w:color="auto"/>
            </w:tcBorders>
            <w:tcMar>
              <w:top w:w="0" w:type="dxa"/>
              <w:left w:w="115" w:type="dxa"/>
              <w:bottom w:w="0" w:type="dxa"/>
              <w:right w:w="115" w:type="dxa"/>
            </w:tcMar>
            <w:hideMark/>
          </w:tcPr>
          <w:p w14:paraId="0E22F4E5" w14:textId="77777777" w:rsidR="00E549A3" w:rsidRPr="00312485" w:rsidRDefault="00E549A3" w:rsidP="000E2A7E">
            <w:pPr>
              <w:ind w:firstLine="0"/>
              <w:jc w:val="center"/>
              <w:rPr>
                <w:b/>
                <w:bCs/>
                <w:sz w:val="24"/>
                <w:szCs w:val="24"/>
                <w:lang w:val="ro-MD"/>
              </w:rPr>
            </w:pPr>
          </w:p>
        </w:tc>
        <w:tc>
          <w:tcPr>
            <w:tcW w:w="870" w:type="pct"/>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E19A5BE" w14:textId="77777777" w:rsidR="00E549A3" w:rsidRPr="00312485" w:rsidRDefault="00E549A3" w:rsidP="000E2A7E">
            <w:pPr>
              <w:ind w:firstLine="0"/>
              <w:jc w:val="center"/>
              <w:rPr>
                <w:b/>
                <w:bCs/>
                <w:sz w:val="24"/>
                <w:szCs w:val="24"/>
                <w:lang w:val="ro-MD"/>
              </w:rPr>
            </w:pPr>
            <w:r w:rsidRPr="00312485">
              <w:rPr>
                <w:b/>
                <w:color w:val="000000"/>
                <w:sz w:val="16"/>
                <w:szCs w:val="16"/>
                <w:shd w:val="clear" w:color="auto" w:fill="FFFFFF"/>
                <w:lang w:val="ro-MD"/>
              </w:rPr>
              <w:t>CBTM</w:t>
            </w:r>
            <w:r w:rsidRPr="00312485">
              <w:rPr>
                <w:b/>
                <w:bCs/>
                <w:color w:val="000000"/>
                <w:sz w:val="16"/>
                <w:szCs w:val="16"/>
                <w:shd w:val="clear" w:color="auto" w:fill="FFFFFF"/>
                <w:lang w:val="ro-MD"/>
              </w:rPr>
              <w:t xml:space="preserve"> (2025-2027)</w:t>
            </w:r>
          </w:p>
        </w:tc>
        <w:tc>
          <w:tcPr>
            <w:tcW w:w="915" w:type="pct"/>
            <w:gridSpan w:val="2"/>
            <w:tcBorders>
              <w:top w:val="single" w:sz="4" w:space="0" w:color="auto"/>
              <w:left w:val="single" w:sz="4" w:space="0" w:color="auto"/>
              <w:bottom w:val="single" w:sz="4" w:space="0" w:color="auto"/>
              <w:right w:val="single" w:sz="4" w:space="0" w:color="auto"/>
            </w:tcBorders>
          </w:tcPr>
          <w:p w14:paraId="68F85ED6" w14:textId="77777777" w:rsidR="00E549A3" w:rsidRPr="00312485" w:rsidRDefault="00E549A3" w:rsidP="000E2A7E">
            <w:pPr>
              <w:ind w:firstLine="0"/>
              <w:jc w:val="center"/>
              <w:rPr>
                <w:b/>
                <w:bCs/>
                <w:sz w:val="24"/>
                <w:szCs w:val="24"/>
                <w:lang w:val="ro-MD"/>
              </w:rPr>
            </w:pPr>
            <w:r w:rsidRPr="00312485">
              <w:rPr>
                <w:b/>
                <w:color w:val="000000"/>
                <w:sz w:val="16"/>
                <w:szCs w:val="16"/>
                <w:shd w:val="clear" w:color="auto" w:fill="FFFFFF"/>
                <w:lang w:val="ro-MD"/>
              </w:rPr>
              <w:t>CBTM</w:t>
            </w:r>
            <w:r w:rsidRPr="00312485">
              <w:rPr>
                <w:b/>
                <w:bCs/>
                <w:color w:val="000000"/>
                <w:sz w:val="16"/>
                <w:szCs w:val="16"/>
                <w:shd w:val="clear" w:color="auto" w:fill="FFFFFF"/>
                <w:lang w:val="ro-MD"/>
              </w:rPr>
              <w:t xml:space="preserve"> (2026-2028)</w:t>
            </w:r>
          </w:p>
        </w:tc>
        <w:tc>
          <w:tcPr>
            <w:tcW w:w="886" w:type="pct"/>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B5B187A" w14:textId="77777777" w:rsidR="00E549A3" w:rsidRPr="00312485" w:rsidRDefault="00E549A3" w:rsidP="000E2A7E">
            <w:pPr>
              <w:ind w:firstLine="0"/>
              <w:jc w:val="center"/>
              <w:rPr>
                <w:b/>
                <w:bCs/>
                <w:sz w:val="24"/>
                <w:szCs w:val="24"/>
                <w:lang w:val="ro-MD"/>
              </w:rPr>
            </w:pPr>
            <w:r w:rsidRPr="00312485">
              <w:rPr>
                <w:b/>
                <w:color w:val="000000"/>
                <w:sz w:val="16"/>
                <w:szCs w:val="16"/>
                <w:shd w:val="clear" w:color="auto" w:fill="FFFFFF"/>
                <w:lang w:val="ro-MD"/>
              </w:rPr>
              <w:t>CBTM</w:t>
            </w:r>
            <w:r w:rsidRPr="00312485">
              <w:rPr>
                <w:b/>
                <w:bCs/>
                <w:color w:val="000000"/>
                <w:sz w:val="16"/>
                <w:szCs w:val="16"/>
                <w:shd w:val="clear" w:color="auto" w:fill="FFFFFF"/>
                <w:lang w:val="ro-MD"/>
              </w:rPr>
              <w:t xml:space="preserve"> (2025-2027)</w:t>
            </w:r>
          </w:p>
        </w:tc>
        <w:tc>
          <w:tcPr>
            <w:tcW w:w="937" w:type="pct"/>
            <w:gridSpan w:val="2"/>
            <w:tcBorders>
              <w:top w:val="single" w:sz="4" w:space="0" w:color="auto"/>
              <w:left w:val="single" w:sz="4" w:space="0" w:color="auto"/>
              <w:bottom w:val="single" w:sz="4" w:space="0" w:color="auto"/>
              <w:right w:val="single" w:sz="4" w:space="0" w:color="auto"/>
            </w:tcBorders>
          </w:tcPr>
          <w:p w14:paraId="10C6C6E8" w14:textId="77777777" w:rsidR="00E549A3" w:rsidRPr="00312485" w:rsidRDefault="00E549A3" w:rsidP="000E2A7E">
            <w:pPr>
              <w:ind w:firstLine="0"/>
              <w:jc w:val="center"/>
              <w:rPr>
                <w:b/>
                <w:bCs/>
                <w:sz w:val="24"/>
                <w:szCs w:val="24"/>
                <w:lang w:val="ro-MD"/>
              </w:rPr>
            </w:pPr>
            <w:r w:rsidRPr="00312485">
              <w:rPr>
                <w:b/>
                <w:color w:val="000000"/>
                <w:sz w:val="16"/>
                <w:szCs w:val="16"/>
                <w:shd w:val="clear" w:color="auto" w:fill="FFFFFF"/>
                <w:lang w:val="ro-MD"/>
              </w:rPr>
              <w:t>CBTM</w:t>
            </w:r>
            <w:r w:rsidRPr="00312485">
              <w:rPr>
                <w:b/>
                <w:bCs/>
                <w:color w:val="000000"/>
                <w:sz w:val="16"/>
                <w:szCs w:val="16"/>
                <w:shd w:val="clear" w:color="auto" w:fill="FFFFFF"/>
                <w:lang w:val="ro-MD"/>
              </w:rPr>
              <w:t xml:space="preserve"> (2026-2028)</w:t>
            </w:r>
          </w:p>
        </w:tc>
      </w:tr>
      <w:tr w:rsidR="00E549A3" w:rsidRPr="00312485" w14:paraId="104522CA" w14:textId="77777777" w:rsidTr="000E2A7E">
        <w:trPr>
          <w:trHeight w:val="306"/>
          <w:tblHeader/>
          <w:jc w:val="center"/>
        </w:trPr>
        <w:tc>
          <w:tcPr>
            <w:tcW w:w="1393" w:type="pct"/>
            <w:vMerge/>
            <w:tcBorders>
              <w:left w:val="single" w:sz="4" w:space="0" w:color="auto"/>
              <w:bottom w:val="nil"/>
              <w:right w:val="single" w:sz="4" w:space="0" w:color="auto"/>
            </w:tcBorders>
            <w:vAlign w:val="center"/>
            <w:hideMark/>
          </w:tcPr>
          <w:p w14:paraId="2DECCE2B" w14:textId="77777777" w:rsidR="00E549A3" w:rsidRPr="00312485" w:rsidRDefault="00E549A3" w:rsidP="000E2A7E">
            <w:pPr>
              <w:ind w:firstLine="0"/>
              <w:jc w:val="left"/>
              <w:rPr>
                <w:b/>
                <w:bCs/>
                <w:sz w:val="24"/>
                <w:szCs w:val="24"/>
                <w:lang w:val="ro-MD"/>
              </w:rPr>
            </w:pP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0AE024A"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2026</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E9AB356"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2027</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FDEDE27"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2026</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3FD7E4B"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2027</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EE2F477" w14:textId="77777777" w:rsidR="00E549A3" w:rsidRPr="00312485" w:rsidRDefault="00E549A3" w:rsidP="000E2A7E">
            <w:pPr>
              <w:ind w:firstLine="0"/>
              <w:jc w:val="center"/>
              <w:rPr>
                <w:b/>
                <w:bCs/>
                <w:sz w:val="24"/>
                <w:szCs w:val="24"/>
                <w:highlight w:val="lightGray"/>
                <w:lang w:val="ro-MD"/>
              </w:rPr>
            </w:pPr>
            <w:r w:rsidRPr="00312485">
              <w:rPr>
                <w:b/>
                <w:bCs/>
                <w:color w:val="000000"/>
                <w:sz w:val="16"/>
                <w:szCs w:val="16"/>
                <w:shd w:val="clear" w:color="auto" w:fill="FFFFFF"/>
                <w:lang w:val="ro-MD"/>
              </w:rPr>
              <w:t>2026</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3C93E51" w14:textId="77777777" w:rsidR="00E549A3" w:rsidRPr="00312485" w:rsidRDefault="00E549A3" w:rsidP="000E2A7E">
            <w:pPr>
              <w:ind w:firstLine="0"/>
              <w:jc w:val="center"/>
              <w:rPr>
                <w:b/>
                <w:bCs/>
                <w:sz w:val="24"/>
                <w:szCs w:val="24"/>
                <w:highlight w:val="lightGray"/>
                <w:lang w:val="ro-MD"/>
              </w:rPr>
            </w:pPr>
            <w:r w:rsidRPr="00312485">
              <w:rPr>
                <w:b/>
                <w:bCs/>
                <w:color w:val="000000"/>
                <w:sz w:val="16"/>
                <w:szCs w:val="16"/>
                <w:shd w:val="clear" w:color="auto" w:fill="FFFFFF"/>
                <w:lang w:val="ro-MD"/>
              </w:rPr>
              <w:t>2027</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A686F08"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2026</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3787C4C"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2027</w:t>
            </w:r>
          </w:p>
        </w:tc>
      </w:tr>
      <w:tr w:rsidR="00E549A3" w:rsidRPr="00312485" w14:paraId="1D20702F" w14:textId="77777777" w:rsidTr="005864B9">
        <w:trPr>
          <w:trHeight w:val="197"/>
          <w:jc w:val="center"/>
        </w:trPr>
        <w:tc>
          <w:tcPr>
            <w:tcW w:w="1393" w:type="pct"/>
            <w:vMerge/>
            <w:tcBorders>
              <w:top w:val="nil"/>
              <w:left w:val="single" w:sz="4" w:space="0" w:color="auto"/>
              <w:bottom w:val="single" w:sz="4" w:space="0" w:color="auto"/>
              <w:right w:val="single" w:sz="4" w:space="0" w:color="auto"/>
            </w:tcBorders>
            <w:tcMar>
              <w:top w:w="0" w:type="dxa"/>
              <w:left w:w="115" w:type="dxa"/>
              <w:bottom w:w="0" w:type="dxa"/>
              <w:right w:w="115" w:type="dxa"/>
            </w:tcMar>
            <w:vAlign w:val="center"/>
          </w:tcPr>
          <w:p w14:paraId="4754552E" w14:textId="77777777" w:rsidR="00E549A3" w:rsidRPr="00312485" w:rsidRDefault="00E549A3" w:rsidP="000E2A7E">
            <w:pPr>
              <w:ind w:firstLine="0"/>
              <w:rPr>
                <w:b/>
                <w:bCs/>
                <w:color w:val="000000"/>
                <w:sz w:val="16"/>
                <w:szCs w:val="16"/>
                <w:shd w:val="clear" w:color="auto" w:fill="FFFFFF"/>
                <w:lang w:val="ro-MD"/>
              </w:rPr>
            </w:pPr>
          </w:p>
        </w:tc>
        <w:tc>
          <w:tcPr>
            <w:tcW w:w="1784" w:type="pct"/>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0954AF97"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Mil. lei</w:t>
            </w:r>
          </w:p>
        </w:tc>
        <w:tc>
          <w:tcPr>
            <w:tcW w:w="1823" w:type="pct"/>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0E0DA39" w14:textId="77777777" w:rsidR="00E549A3" w:rsidRPr="00312485" w:rsidRDefault="00E549A3" w:rsidP="000E2A7E">
            <w:pPr>
              <w:ind w:firstLine="0"/>
              <w:jc w:val="center"/>
              <w:rPr>
                <w:b/>
                <w:bCs/>
                <w:sz w:val="24"/>
                <w:szCs w:val="24"/>
                <w:lang w:val="ro-MD"/>
              </w:rPr>
            </w:pPr>
            <w:r w:rsidRPr="00312485">
              <w:rPr>
                <w:b/>
                <w:bCs/>
                <w:color w:val="000000"/>
                <w:sz w:val="16"/>
                <w:szCs w:val="16"/>
                <w:shd w:val="clear" w:color="auto" w:fill="FFFFFF"/>
                <w:lang w:val="ro-MD"/>
              </w:rPr>
              <w:t>% in PIB</w:t>
            </w:r>
          </w:p>
        </w:tc>
      </w:tr>
      <w:tr w:rsidR="00E549A3" w:rsidRPr="00312485" w14:paraId="645D9A1D" w14:textId="77777777" w:rsidTr="000E2A7E">
        <w:trPr>
          <w:trHeight w:val="366"/>
          <w:jc w:val="center"/>
        </w:trPr>
        <w:tc>
          <w:tcPr>
            <w:tcW w:w="139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007C8CC0" w14:textId="77777777" w:rsidR="00E549A3" w:rsidRPr="00312485" w:rsidRDefault="00E549A3" w:rsidP="000E2A7E">
            <w:pPr>
              <w:ind w:firstLine="0"/>
              <w:jc w:val="left"/>
              <w:rPr>
                <w:rFonts w:eastAsia="Calibri"/>
                <w:b/>
                <w:sz w:val="18"/>
                <w:szCs w:val="18"/>
                <w:lang w:val="ro-MD"/>
              </w:rPr>
            </w:pPr>
            <w:r w:rsidRPr="00312485">
              <w:rPr>
                <w:rFonts w:eastAsia="Calibri"/>
                <w:b/>
                <w:sz w:val="18"/>
                <w:szCs w:val="18"/>
                <w:lang w:val="ro-MD"/>
              </w:rPr>
              <w:t>Total venituri</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453054C7" w14:textId="77777777" w:rsidR="00E549A3" w:rsidRPr="00312485" w:rsidRDefault="00E549A3" w:rsidP="000E2A7E">
            <w:pPr>
              <w:ind w:firstLine="0"/>
              <w:jc w:val="center"/>
              <w:rPr>
                <w:sz w:val="24"/>
                <w:szCs w:val="24"/>
                <w:lang w:val="ro-MD"/>
              </w:rPr>
            </w:pPr>
            <w:r w:rsidRPr="00312485">
              <w:rPr>
                <w:b/>
                <w:bCs/>
                <w:sz w:val="16"/>
                <w:szCs w:val="16"/>
                <w:shd w:val="clear" w:color="auto" w:fill="FFFFFF"/>
                <w:lang w:val="ro-MD"/>
              </w:rPr>
              <w:t>124 474</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6A312484" w14:textId="5B9B2693"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135</w:t>
            </w:r>
            <w:r w:rsidR="005F5967">
              <w:rPr>
                <w:rFonts w:eastAsia="Calibri"/>
                <w:b/>
                <w:bCs/>
                <w:color w:val="000000"/>
                <w:sz w:val="16"/>
                <w:szCs w:val="16"/>
                <w:lang w:val="ro-MD"/>
              </w:rPr>
              <w:t xml:space="preserve"> </w:t>
            </w:r>
            <w:r w:rsidRPr="00312485">
              <w:rPr>
                <w:rFonts w:eastAsia="Calibri"/>
                <w:b/>
                <w:bCs/>
                <w:color w:val="000000"/>
                <w:sz w:val="16"/>
                <w:szCs w:val="16"/>
                <w:lang w:val="ro-MD"/>
              </w:rPr>
              <w:t>855</w:t>
            </w:r>
          </w:p>
        </w:tc>
        <w:tc>
          <w:tcPr>
            <w:tcW w:w="45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A52D988" w14:textId="750D8FCC"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131</w:t>
            </w:r>
            <w:r w:rsidR="005F5967">
              <w:rPr>
                <w:rFonts w:eastAsia="Calibri"/>
                <w:b/>
                <w:bCs/>
                <w:color w:val="000000"/>
                <w:sz w:val="16"/>
                <w:szCs w:val="16"/>
                <w:lang w:val="ro-MD"/>
              </w:rPr>
              <w:t xml:space="preserve"> </w:t>
            </w:r>
            <w:r w:rsidRPr="00312485">
              <w:rPr>
                <w:rFonts w:eastAsia="Calibri"/>
                <w:b/>
                <w:bCs/>
                <w:color w:val="000000"/>
                <w:sz w:val="16"/>
                <w:szCs w:val="16"/>
                <w:lang w:val="ro-MD"/>
              </w:rPr>
              <w:t>904</w:t>
            </w:r>
          </w:p>
        </w:tc>
        <w:tc>
          <w:tcPr>
            <w:tcW w:w="45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77020BA" w14:textId="7D606AE7"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143</w:t>
            </w:r>
            <w:r w:rsidR="005F5967">
              <w:rPr>
                <w:rFonts w:eastAsia="Calibri"/>
                <w:b/>
                <w:bCs/>
                <w:color w:val="000000"/>
                <w:sz w:val="16"/>
                <w:szCs w:val="16"/>
                <w:lang w:val="ro-MD"/>
              </w:rPr>
              <w:t xml:space="preserve"> </w:t>
            </w:r>
            <w:r w:rsidRPr="00312485">
              <w:rPr>
                <w:rFonts w:eastAsia="Calibri"/>
                <w:b/>
                <w:bCs/>
                <w:color w:val="000000"/>
                <w:sz w:val="16"/>
                <w:szCs w:val="16"/>
                <w:lang w:val="ro-MD"/>
              </w:rPr>
              <w:t>394</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03A47630" w14:textId="77777777" w:rsidR="00E549A3" w:rsidRPr="00312485" w:rsidRDefault="00E549A3" w:rsidP="000E2A7E">
            <w:pPr>
              <w:ind w:firstLine="0"/>
              <w:jc w:val="center"/>
              <w:rPr>
                <w:sz w:val="24"/>
                <w:szCs w:val="24"/>
                <w:lang w:val="ro-MD"/>
              </w:rPr>
            </w:pPr>
            <w:r w:rsidRPr="00312485">
              <w:rPr>
                <w:b/>
                <w:bCs/>
                <w:sz w:val="16"/>
                <w:szCs w:val="16"/>
                <w:shd w:val="clear" w:color="auto" w:fill="FFFFFF"/>
                <w:lang w:val="ro-MD"/>
              </w:rPr>
              <w:t>31,7%</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756B127" w14:textId="77777777" w:rsidR="00E549A3" w:rsidRPr="00312485" w:rsidRDefault="00E549A3" w:rsidP="000E2A7E">
            <w:pPr>
              <w:ind w:firstLine="0"/>
              <w:jc w:val="center"/>
              <w:rPr>
                <w:sz w:val="24"/>
                <w:szCs w:val="24"/>
                <w:lang w:val="ro-MD"/>
              </w:rPr>
            </w:pPr>
            <w:r w:rsidRPr="00312485">
              <w:rPr>
                <w:b/>
                <w:bCs/>
                <w:sz w:val="16"/>
                <w:szCs w:val="16"/>
                <w:shd w:val="clear" w:color="auto" w:fill="FFFFFF"/>
                <w:lang w:val="ro-MD"/>
              </w:rPr>
              <w:t>31,7%</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33D71B55" w14:textId="77777777" w:rsidR="00E549A3" w:rsidRPr="00312485" w:rsidRDefault="00E549A3" w:rsidP="000E2A7E">
            <w:pPr>
              <w:ind w:firstLine="0"/>
              <w:jc w:val="center"/>
              <w:rPr>
                <w:sz w:val="24"/>
                <w:szCs w:val="24"/>
                <w:lang w:val="ro-MD"/>
              </w:rPr>
            </w:pPr>
            <w:r w:rsidRPr="00312485">
              <w:rPr>
                <w:b/>
                <w:bCs/>
                <w:sz w:val="16"/>
                <w:szCs w:val="16"/>
                <w:shd w:val="clear" w:color="auto" w:fill="FFFFFF"/>
                <w:lang w:val="ro-MD"/>
              </w:rPr>
              <w:t>34,7%</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E405083" w14:textId="77777777" w:rsidR="00E549A3" w:rsidRPr="00312485" w:rsidRDefault="00E549A3" w:rsidP="000E2A7E">
            <w:pPr>
              <w:ind w:firstLine="0"/>
              <w:jc w:val="center"/>
              <w:rPr>
                <w:sz w:val="24"/>
                <w:szCs w:val="24"/>
                <w:lang w:val="ro-MD"/>
              </w:rPr>
            </w:pPr>
            <w:r w:rsidRPr="00312485">
              <w:rPr>
                <w:b/>
                <w:bCs/>
                <w:sz w:val="16"/>
                <w:szCs w:val="16"/>
                <w:shd w:val="clear" w:color="auto" w:fill="FFFFFF"/>
                <w:lang w:val="ro-MD"/>
              </w:rPr>
              <w:t>34,8%</w:t>
            </w:r>
          </w:p>
        </w:tc>
      </w:tr>
      <w:tr w:rsidR="00E549A3" w:rsidRPr="00312485" w14:paraId="0C0AB716"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5EE3348" w14:textId="77777777" w:rsidR="00E549A3" w:rsidRPr="00312485" w:rsidRDefault="00E549A3" w:rsidP="000E2A7E">
            <w:pPr>
              <w:ind w:firstLine="0"/>
              <w:jc w:val="left"/>
              <w:rPr>
                <w:rFonts w:eastAsia="Calibri"/>
                <w:sz w:val="18"/>
                <w:szCs w:val="18"/>
                <w:lang w:val="ro-MD"/>
              </w:rPr>
            </w:pPr>
            <w:r w:rsidRPr="00312485">
              <w:rPr>
                <w:rFonts w:eastAsia="Calibri"/>
                <w:color w:val="000000"/>
                <w:sz w:val="18"/>
                <w:szCs w:val="18"/>
                <w:lang w:val="ro-MD"/>
              </w:rPr>
              <w:t>Impozite și taxe</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E324ECF"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117 806</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B064C90"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129 355</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BB429B2"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124 296</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9B07566"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135 800</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1947477"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30,0%</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744CBBA"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30,1%</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54877E3"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32,7%</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2C06B9"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33,0%</w:t>
            </w:r>
          </w:p>
        </w:tc>
      </w:tr>
      <w:tr w:rsidR="00E549A3" w:rsidRPr="00312485" w14:paraId="56D36E84"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21E6C3C" w14:textId="77777777" w:rsidR="00E549A3" w:rsidRPr="00312485" w:rsidRDefault="00E549A3" w:rsidP="000E2A7E">
            <w:pPr>
              <w:ind w:firstLine="0"/>
              <w:jc w:val="left"/>
              <w:rPr>
                <w:rFonts w:eastAsia="Calibri"/>
                <w:sz w:val="18"/>
                <w:szCs w:val="18"/>
                <w:lang w:val="ro-MD"/>
              </w:rPr>
            </w:pPr>
            <w:r w:rsidRPr="00312485">
              <w:rPr>
                <w:rFonts w:eastAsia="Calibri"/>
                <w:color w:val="000000"/>
                <w:sz w:val="18"/>
                <w:szCs w:val="18"/>
                <w:lang w:val="ro-MD"/>
              </w:rPr>
              <w:t xml:space="preserve">Alte venituri </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42AF7D7"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5 239</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F72B5DD"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5 400</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EB7D96C"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5 960</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E1CBAB6"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6 393</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F338D9D"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1,3%</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7CCB465"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1,3%</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3318A58"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1,6%</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E950AFE"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1,6%</w:t>
            </w:r>
          </w:p>
        </w:tc>
      </w:tr>
      <w:tr w:rsidR="00E549A3" w:rsidRPr="00312485" w14:paraId="3B477A76"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0843B04C" w14:textId="77777777" w:rsidR="00E549A3" w:rsidRPr="00312485" w:rsidRDefault="00E549A3" w:rsidP="000E2A7E">
            <w:pPr>
              <w:ind w:firstLine="0"/>
              <w:jc w:val="left"/>
              <w:rPr>
                <w:rFonts w:eastAsia="Calibri"/>
                <w:sz w:val="18"/>
                <w:szCs w:val="18"/>
                <w:lang w:val="ro-MD"/>
              </w:rPr>
            </w:pPr>
            <w:r w:rsidRPr="00312485">
              <w:rPr>
                <w:rFonts w:eastAsia="Calibri"/>
                <w:color w:val="000000"/>
                <w:sz w:val="18"/>
                <w:szCs w:val="18"/>
                <w:lang w:val="ro-MD"/>
              </w:rPr>
              <w:t>Granturi</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7CF0E21"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1 429</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4D5DDC82"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1 101</w:t>
            </w:r>
          </w:p>
        </w:tc>
        <w:tc>
          <w:tcPr>
            <w:tcW w:w="457"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4E13CDF"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1 649</w:t>
            </w:r>
          </w:p>
        </w:tc>
        <w:tc>
          <w:tcPr>
            <w:tcW w:w="458"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6FE90216"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1 201</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9020658"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0,4%</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DBA3DA7"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0,3%</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CDC07C9"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0,4%</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02374E0"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0,3%</w:t>
            </w:r>
          </w:p>
        </w:tc>
      </w:tr>
      <w:tr w:rsidR="00E549A3" w:rsidRPr="00312485" w14:paraId="19D37482" w14:textId="77777777" w:rsidTr="000E2A7E">
        <w:trPr>
          <w:trHeight w:val="408"/>
          <w:jc w:val="center"/>
        </w:trPr>
        <w:tc>
          <w:tcPr>
            <w:tcW w:w="139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4031C67A" w14:textId="77777777" w:rsidR="00E549A3" w:rsidRPr="00312485" w:rsidRDefault="00E549A3" w:rsidP="000E2A7E">
            <w:pPr>
              <w:ind w:firstLine="0"/>
              <w:jc w:val="left"/>
              <w:rPr>
                <w:rFonts w:eastAsia="Calibri"/>
                <w:b/>
                <w:sz w:val="18"/>
                <w:szCs w:val="18"/>
                <w:lang w:val="ro-MD"/>
              </w:rPr>
            </w:pPr>
            <w:r w:rsidRPr="00312485">
              <w:rPr>
                <w:rFonts w:eastAsia="Calibri"/>
                <w:b/>
                <w:sz w:val="18"/>
                <w:szCs w:val="18"/>
                <w:lang w:val="ro-MD"/>
              </w:rPr>
              <w:t>Total cheltuieli</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0980658"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137 924</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3383781" w14:textId="77777777"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149255</w:t>
            </w:r>
          </w:p>
        </w:tc>
        <w:tc>
          <w:tcPr>
            <w:tcW w:w="45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4EB65263" w14:textId="77777777"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152418</w:t>
            </w:r>
          </w:p>
        </w:tc>
        <w:tc>
          <w:tcPr>
            <w:tcW w:w="45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438389FD" w14:textId="77777777" w:rsidR="00E549A3" w:rsidRPr="00312485" w:rsidRDefault="00E549A3" w:rsidP="000E2A7E">
            <w:pPr>
              <w:ind w:firstLine="0"/>
              <w:jc w:val="center"/>
              <w:rPr>
                <w:sz w:val="24"/>
                <w:szCs w:val="24"/>
                <w:lang w:val="ro-MD"/>
              </w:rPr>
            </w:pPr>
            <w:r w:rsidRPr="00312485">
              <w:rPr>
                <w:rFonts w:eastAsia="Calibri"/>
                <w:b/>
                <w:bCs/>
                <w:color w:val="000000"/>
                <w:sz w:val="16"/>
                <w:szCs w:val="16"/>
                <w:lang w:val="ro-MD"/>
              </w:rPr>
              <w:t>165328</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28518993"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35,1%</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B179DFF"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34,8%</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3415386C"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40,1%</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2D225995"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40,2%</w:t>
            </w:r>
          </w:p>
        </w:tc>
      </w:tr>
      <w:tr w:rsidR="00E549A3" w:rsidRPr="00312485" w14:paraId="6A978E10"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60296EB9" w14:textId="77777777" w:rsidR="00E549A3" w:rsidRPr="00312485" w:rsidRDefault="00E549A3" w:rsidP="000E2A7E">
            <w:pPr>
              <w:ind w:firstLine="0"/>
              <w:jc w:val="left"/>
              <w:rPr>
                <w:rFonts w:eastAsia="Calibri"/>
                <w:sz w:val="18"/>
                <w:szCs w:val="18"/>
                <w:highlight w:val="yellow"/>
                <w:lang w:val="ro-MD"/>
              </w:rPr>
            </w:pPr>
            <w:r w:rsidRPr="00312485">
              <w:rPr>
                <w:rFonts w:eastAsia="Calibri"/>
                <w:sz w:val="18"/>
                <w:szCs w:val="18"/>
                <w:lang w:val="ro-MD"/>
              </w:rPr>
              <w:t>Cheltuieli recurente, dintre care:</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3089A4B2"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133 719</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B801350" w14:textId="77777777" w:rsidR="00E549A3" w:rsidRPr="00312485" w:rsidRDefault="00E549A3" w:rsidP="000E2A7E">
            <w:pPr>
              <w:ind w:firstLine="0"/>
              <w:jc w:val="center"/>
              <w:rPr>
                <w:sz w:val="24"/>
                <w:szCs w:val="24"/>
                <w:highlight w:val="yellow"/>
                <w:lang w:val="ro-MD"/>
              </w:rPr>
            </w:pPr>
            <w:r w:rsidRPr="00312485">
              <w:rPr>
                <w:rFonts w:eastAsia="Calibri"/>
                <w:color w:val="000000"/>
                <w:sz w:val="16"/>
                <w:szCs w:val="16"/>
                <w:lang w:val="ro-MD"/>
              </w:rPr>
              <w:t>144 848</w:t>
            </w:r>
          </w:p>
        </w:tc>
        <w:tc>
          <w:tcPr>
            <w:tcW w:w="457"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6B71A4F3"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146 593</w:t>
            </w:r>
          </w:p>
        </w:tc>
        <w:tc>
          <w:tcPr>
            <w:tcW w:w="458"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01D1E3A9"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156 317</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C1774BA"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34,0%</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AE5F576" w14:textId="77777777" w:rsidR="00E549A3" w:rsidRPr="00312485" w:rsidRDefault="00E549A3" w:rsidP="000E2A7E">
            <w:pPr>
              <w:ind w:firstLine="0"/>
              <w:jc w:val="center"/>
              <w:rPr>
                <w:sz w:val="24"/>
                <w:szCs w:val="24"/>
                <w:highlight w:val="yellow"/>
                <w:lang w:val="ro-MD"/>
              </w:rPr>
            </w:pPr>
            <w:r w:rsidRPr="00312485">
              <w:rPr>
                <w:rFonts w:eastAsia="Calibri"/>
                <w:b/>
                <w:bCs/>
                <w:color w:val="000000"/>
                <w:sz w:val="16"/>
                <w:szCs w:val="16"/>
                <w:lang w:val="ro-MD"/>
              </w:rPr>
              <w:t>34,0%</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306A461" w14:textId="77777777" w:rsidR="00E549A3" w:rsidRPr="00312485" w:rsidRDefault="00E549A3" w:rsidP="000E2A7E">
            <w:pPr>
              <w:ind w:firstLine="0"/>
              <w:jc w:val="center"/>
              <w:rPr>
                <w:sz w:val="24"/>
                <w:szCs w:val="24"/>
                <w:highlight w:val="yellow"/>
                <w:lang w:val="ro-MD"/>
              </w:rPr>
            </w:pPr>
            <w:r w:rsidRPr="00312485">
              <w:rPr>
                <w:rFonts w:eastAsia="Calibri"/>
                <w:b/>
                <w:bCs/>
                <w:color w:val="000000"/>
                <w:sz w:val="16"/>
                <w:szCs w:val="16"/>
                <w:lang w:val="ro-MD"/>
              </w:rPr>
              <w:t>33,8%</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0DD0862" w14:textId="77777777" w:rsidR="00E549A3" w:rsidRPr="00312485" w:rsidRDefault="00E549A3" w:rsidP="000E2A7E">
            <w:pPr>
              <w:ind w:firstLine="0"/>
              <w:jc w:val="center"/>
              <w:rPr>
                <w:sz w:val="24"/>
                <w:szCs w:val="24"/>
                <w:highlight w:val="yellow"/>
                <w:lang w:val="ro-MD"/>
              </w:rPr>
            </w:pPr>
            <w:r w:rsidRPr="00312485">
              <w:rPr>
                <w:rFonts w:eastAsia="Calibri"/>
                <w:b/>
                <w:bCs/>
                <w:color w:val="000000"/>
                <w:sz w:val="16"/>
                <w:szCs w:val="16"/>
                <w:lang w:val="ro-MD"/>
              </w:rPr>
              <w:t>38,5%</w:t>
            </w:r>
          </w:p>
        </w:tc>
      </w:tr>
      <w:tr w:rsidR="00E549A3" w:rsidRPr="00312485" w14:paraId="20A28987"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331DC65" w14:textId="77777777" w:rsidR="00E549A3" w:rsidRPr="00312485" w:rsidRDefault="00E549A3" w:rsidP="000E2A7E">
            <w:pPr>
              <w:ind w:left="174" w:firstLine="0"/>
              <w:jc w:val="left"/>
              <w:rPr>
                <w:rFonts w:eastAsia="Calibri"/>
                <w:sz w:val="18"/>
                <w:szCs w:val="18"/>
                <w:lang w:val="ro-MD"/>
              </w:rPr>
            </w:pPr>
            <w:r w:rsidRPr="00312485">
              <w:rPr>
                <w:rFonts w:eastAsia="Calibri"/>
                <w:i/>
                <w:color w:val="000000"/>
                <w:sz w:val="16"/>
                <w:szCs w:val="16"/>
                <w:lang w:val="ro-MD"/>
              </w:rPr>
              <w:t>- cheltuieli de personal</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3AE0EDB3"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30 395</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620BD227" w14:textId="77777777" w:rsidR="00E549A3" w:rsidRPr="00312485" w:rsidRDefault="00E549A3" w:rsidP="000E2A7E">
            <w:pPr>
              <w:ind w:firstLine="0"/>
              <w:jc w:val="center"/>
              <w:rPr>
                <w:sz w:val="24"/>
                <w:szCs w:val="24"/>
                <w:highlight w:val="yellow"/>
                <w:lang w:val="ro-MD"/>
              </w:rPr>
            </w:pPr>
            <w:r w:rsidRPr="00312485">
              <w:rPr>
                <w:rFonts w:eastAsia="Calibri"/>
                <w:color w:val="000000"/>
                <w:sz w:val="16"/>
                <w:szCs w:val="16"/>
                <w:lang w:val="ro-MD"/>
              </w:rPr>
              <w:t>33 041</w:t>
            </w:r>
          </w:p>
        </w:tc>
        <w:tc>
          <w:tcPr>
            <w:tcW w:w="45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7A8A121C"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32 442</w:t>
            </w:r>
          </w:p>
        </w:tc>
        <w:tc>
          <w:tcPr>
            <w:tcW w:w="45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1DE5A440"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33 585</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0DDAEA45" w14:textId="77777777" w:rsidR="00E549A3" w:rsidRPr="00312485" w:rsidRDefault="00E549A3" w:rsidP="000E2A7E">
            <w:pPr>
              <w:ind w:firstLine="0"/>
              <w:jc w:val="center"/>
              <w:rPr>
                <w:sz w:val="24"/>
                <w:szCs w:val="24"/>
                <w:lang w:val="ro-MD"/>
              </w:rPr>
            </w:pPr>
            <w:r w:rsidRPr="00312485">
              <w:rPr>
                <w:rFonts w:eastAsia="Calibri"/>
                <w:color w:val="000000"/>
                <w:sz w:val="16"/>
                <w:szCs w:val="16"/>
                <w:lang w:val="ro-MD"/>
              </w:rPr>
              <w:t>8.4%</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225A0354"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7,7%</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3E7213"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7,7%</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60AB2475"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8,5%</w:t>
            </w:r>
          </w:p>
        </w:tc>
      </w:tr>
      <w:tr w:rsidR="00E549A3" w:rsidRPr="00312485" w14:paraId="6278ED1C"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1682BE89" w14:textId="77777777" w:rsidR="00E549A3" w:rsidRPr="00312485" w:rsidRDefault="00E549A3" w:rsidP="000E2A7E">
            <w:pPr>
              <w:ind w:left="174" w:firstLine="0"/>
              <w:jc w:val="left"/>
              <w:rPr>
                <w:rFonts w:eastAsia="Calibri"/>
                <w:sz w:val="18"/>
                <w:szCs w:val="18"/>
                <w:highlight w:val="yellow"/>
                <w:lang w:val="ro-MD"/>
              </w:rPr>
            </w:pPr>
            <w:r w:rsidRPr="00312485">
              <w:rPr>
                <w:rFonts w:eastAsia="Calibri"/>
                <w:i/>
                <w:color w:val="000000"/>
                <w:sz w:val="16"/>
                <w:szCs w:val="16"/>
                <w:lang w:val="ro-MD"/>
              </w:rPr>
              <w:t>- dobânzi</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30D453FB"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5 415</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5CA67F3A" w14:textId="77777777" w:rsidR="00E549A3" w:rsidRPr="00312485" w:rsidRDefault="00E549A3" w:rsidP="000E2A7E">
            <w:pPr>
              <w:ind w:firstLine="0"/>
              <w:jc w:val="center"/>
              <w:rPr>
                <w:sz w:val="24"/>
                <w:szCs w:val="24"/>
                <w:highlight w:val="yellow"/>
                <w:lang w:val="ro-MD"/>
              </w:rPr>
            </w:pPr>
            <w:r w:rsidRPr="00312485">
              <w:rPr>
                <w:rFonts w:eastAsia="Calibri"/>
                <w:color w:val="000000"/>
                <w:sz w:val="16"/>
                <w:szCs w:val="16"/>
                <w:lang w:val="ro-MD"/>
              </w:rPr>
              <w:t>5 954</w:t>
            </w:r>
          </w:p>
        </w:tc>
        <w:tc>
          <w:tcPr>
            <w:tcW w:w="457"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7A6BB300"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6 156</w:t>
            </w:r>
          </w:p>
        </w:tc>
        <w:tc>
          <w:tcPr>
            <w:tcW w:w="458"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10BF0C87"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6 850</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C503E89"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1,4%</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D7BB6AD"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1,4%</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E1C11CC"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1,4%</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E377D4"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1,6%</w:t>
            </w:r>
          </w:p>
        </w:tc>
      </w:tr>
      <w:tr w:rsidR="00E549A3" w:rsidRPr="00312485" w14:paraId="3F34B89C"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542D36FE" w14:textId="77777777" w:rsidR="00E549A3" w:rsidRPr="00312485" w:rsidRDefault="00E549A3" w:rsidP="000E2A7E">
            <w:pPr>
              <w:ind w:firstLine="0"/>
              <w:jc w:val="left"/>
              <w:rPr>
                <w:rFonts w:eastAsia="Calibri"/>
                <w:sz w:val="18"/>
                <w:szCs w:val="18"/>
                <w:highlight w:val="yellow"/>
                <w:lang w:val="ro-MD"/>
              </w:rPr>
            </w:pPr>
            <w:r w:rsidRPr="00312485">
              <w:rPr>
                <w:rFonts w:eastAsia="Calibri"/>
                <w:color w:val="000000"/>
                <w:sz w:val="16"/>
                <w:szCs w:val="16"/>
                <w:lang w:val="ro-MD"/>
              </w:rPr>
              <w:t>Investiții capitale</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65A396B9"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4 205</w:t>
            </w:r>
          </w:p>
        </w:tc>
        <w:tc>
          <w:tcPr>
            <w:tcW w:w="435"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4FDA18FD" w14:textId="77777777" w:rsidR="00E549A3" w:rsidRPr="00312485" w:rsidRDefault="00E549A3" w:rsidP="000E2A7E">
            <w:pPr>
              <w:ind w:firstLine="0"/>
              <w:jc w:val="center"/>
              <w:rPr>
                <w:sz w:val="24"/>
                <w:szCs w:val="24"/>
                <w:highlight w:val="yellow"/>
                <w:lang w:val="ro-MD"/>
              </w:rPr>
            </w:pPr>
            <w:r w:rsidRPr="00312485">
              <w:rPr>
                <w:rFonts w:eastAsia="Calibri"/>
                <w:color w:val="000000"/>
                <w:sz w:val="16"/>
                <w:szCs w:val="16"/>
                <w:lang w:val="ro-MD"/>
              </w:rPr>
              <w:t>4 407</w:t>
            </w:r>
          </w:p>
        </w:tc>
        <w:tc>
          <w:tcPr>
            <w:tcW w:w="457"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7CFD7D52"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5 825</w:t>
            </w:r>
          </w:p>
        </w:tc>
        <w:tc>
          <w:tcPr>
            <w:tcW w:w="458"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tcPr>
          <w:p w14:paraId="23BDA3B5" w14:textId="77777777" w:rsidR="00E549A3" w:rsidRPr="00312485" w:rsidRDefault="00E549A3" w:rsidP="000E2A7E">
            <w:pPr>
              <w:ind w:firstLine="0"/>
              <w:jc w:val="center"/>
              <w:rPr>
                <w:color w:val="000000"/>
                <w:sz w:val="16"/>
                <w:szCs w:val="16"/>
                <w:highlight w:val="yellow"/>
                <w:shd w:val="clear" w:color="auto" w:fill="FFFFFF"/>
                <w:lang w:val="ro-MD"/>
              </w:rPr>
            </w:pPr>
            <w:r w:rsidRPr="00312485">
              <w:rPr>
                <w:rFonts w:eastAsia="Calibri"/>
                <w:color w:val="000000"/>
                <w:sz w:val="16"/>
                <w:szCs w:val="16"/>
                <w:lang w:val="ro-MD"/>
              </w:rPr>
              <w:t>9 011</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D3E2667"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1,1%</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4541A7B"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1,1%</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988AB16"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1,0%</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B1852FF" w14:textId="77777777" w:rsidR="00E549A3" w:rsidRPr="00312485" w:rsidRDefault="00E549A3" w:rsidP="000E2A7E">
            <w:pPr>
              <w:ind w:firstLine="0"/>
              <w:jc w:val="center"/>
              <w:rPr>
                <w:sz w:val="24"/>
                <w:szCs w:val="24"/>
                <w:highlight w:val="yellow"/>
                <w:lang w:val="ro-MD"/>
              </w:rPr>
            </w:pPr>
            <w:r w:rsidRPr="00312485">
              <w:rPr>
                <w:rFonts w:eastAsia="Calibri"/>
                <w:bCs/>
                <w:color w:val="000000"/>
                <w:sz w:val="16"/>
                <w:szCs w:val="16"/>
                <w:lang w:val="ro-MD"/>
              </w:rPr>
              <w:t>1,5%</w:t>
            </w:r>
          </w:p>
        </w:tc>
      </w:tr>
      <w:tr w:rsidR="00E549A3" w:rsidRPr="00312485" w14:paraId="2C798E40" w14:textId="77777777" w:rsidTr="000E2A7E">
        <w:trPr>
          <w:trHeight w:val="354"/>
          <w:jc w:val="center"/>
        </w:trPr>
        <w:tc>
          <w:tcPr>
            <w:tcW w:w="139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649B0672" w14:textId="77777777" w:rsidR="00E549A3" w:rsidRPr="00312485" w:rsidRDefault="00E549A3" w:rsidP="000E2A7E">
            <w:pPr>
              <w:ind w:firstLine="0"/>
              <w:jc w:val="left"/>
              <w:rPr>
                <w:rFonts w:eastAsia="Calibri"/>
                <w:b/>
                <w:sz w:val="18"/>
                <w:szCs w:val="18"/>
                <w:lang w:val="ro-MD"/>
              </w:rPr>
            </w:pPr>
            <w:r w:rsidRPr="00312485">
              <w:rPr>
                <w:rFonts w:eastAsia="Calibri"/>
                <w:b/>
                <w:sz w:val="18"/>
                <w:szCs w:val="18"/>
                <w:lang w:val="ro-MD"/>
              </w:rPr>
              <w:t>Soldul bugetar (deficit)</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2A533216"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-13 450</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4B53455"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-13 400</w:t>
            </w:r>
          </w:p>
        </w:tc>
        <w:tc>
          <w:tcPr>
            <w:tcW w:w="45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46A57F83"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-20 514</w:t>
            </w:r>
          </w:p>
        </w:tc>
        <w:tc>
          <w:tcPr>
            <w:tcW w:w="45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5619AE3D"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-21 934</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323E3859"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-3,4%</w:t>
            </w:r>
          </w:p>
        </w:tc>
        <w:tc>
          <w:tcPr>
            <w:tcW w:w="443"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18046E2C"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-3,1%</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D035E87"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-5,4%</w:t>
            </w:r>
          </w:p>
        </w:tc>
        <w:tc>
          <w:tcPr>
            <w:tcW w:w="468"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054E6B5D" w14:textId="77777777" w:rsidR="00E549A3" w:rsidRPr="00312485" w:rsidRDefault="00E549A3" w:rsidP="000E2A7E">
            <w:pPr>
              <w:ind w:firstLine="0"/>
              <w:jc w:val="center"/>
              <w:rPr>
                <w:sz w:val="24"/>
                <w:szCs w:val="24"/>
                <w:lang w:val="ro-MD"/>
              </w:rPr>
            </w:pPr>
            <w:r w:rsidRPr="00312485">
              <w:rPr>
                <w:b/>
                <w:bCs/>
                <w:color w:val="000000"/>
                <w:sz w:val="16"/>
                <w:szCs w:val="16"/>
                <w:shd w:val="clear" w:color="auto" w:fill="FFFFFF"/>
                <w:lang w:val="ro-MD"/>
              </w:rPr>
              <w:t>-5,3%</w:t>
            </w:r>
          </w:p>
        </w:tc>
      </w:tr>
      <w:tr w:rsidR="00E549A3" w:rsidRPr="00312485" w14:paraId="2DFEF24D"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4E530152" w14:textId="77777777" w:rsidR="00E549A3" w:rsidRPr="00312485" w:rsidRDefault="00E549A3" w:rsidP="000E2A7E">
            <w:pPr>
              <w:ind w:firstLine="174"/>
              <w:jc w:val="left"/>
              <w:rPr>
                <w:rFonts w:eastAsia="Calibri"/>
                <w:sz w:val="18"/>
                <w:szCs w:val="18"/>
                <w:lang w:val="ro-MD"/>
              </w:rPr>
            </w:pPr>
            <w:r w:rsidRPr="00312485">
              <w:rPr>
                <w:rFonts w:eastAsia="Calibri"/>
                <w:color w:val="000000"/>
                <w:sz w:val="18"/>
                <w:szCs w:val="18"/>
                <w:lang w:val="ro-MD"/>
              </w:rPr>
              <w:t>Finanțat din:</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16678FC" w14:textId="77777777" w:rsidR="00E549A3" w:rsidRPr="00312485" w:rsidRDefault="00E549A3" w:rsidP="000E2A7E">
            <w:pPr>
              <w:ind w:firstLine="0"/>
              <w:jc w:val="left"/>
              <w:rPr>
                <w:sz w:val="24"/>
                <w:szCs w:val="24"/>
                <w:lang w:val="ro-MD"/>
              </w:rPr>
            </w:pP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33C3F5A" w14:textId="77777777" w:rsidR="00E549A3" w:rsidRPr="00312485" w:rsidRDefault="00E549A3" w:rsidP="000E2A7E">
            <w:pPr>
              <w:ind w:firstLine="0"/>
              <w:jc w:val="left"/>
              <w:rPr>
                <w:sz w:val="24"/>
                <w:szCs w:val="24"/>
                <w:lang w:val="ro-MD"/>
              </w:rPr>
            </w:pP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9573770" w14:textId="77777777" w:rsidR="00E549A3" w:rsidRPr="00312485" w:rsidRDefault="00E549A3" w:rsidP="000E2A7E">
            <w:pPr>
              <w:ind w:firstLine="0"/>
              <w:jc w:val="left"/>
              <w:rPr>
                <w:sz w:val="24"/>
                <w:szCs w:val="24"/>
                <w:lang w:val="ro-MD"/>
              </w:rPr>
            </w:pP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1F69211" w14:textId="77777777" w:rsidR="00E549A3" w:rsidRPr="00312485" w:rsidRDefault="00E549A3" w:rsidP="000E2A7E">
            <w:pPr>
              <w:ind w:firstLine="0"/>
              <w:jc w:val="left"/>
              <w:rPr>
                <w:sz w:val="24"/>
                <w:szCs w:val="24"/>
                <w:lang w:val="ro-MD"/>
              </w:rPr>
            </w:pP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B4E4981" w14:textId="77777777" w:rsidR="00E549A3" w:rsidRPr="00312485" w:rsidRDefault="00E549A3" w:rsidP="000E2A7E">
            <w:pPr>
              <w:ind w:firstLine="0"/>
              <w:jc w:val="left"/>
              <w:rPr>
                <w:sz w:val="24"/>
                <w:szCs w:val="24"/>
                <w:lang w:val="ro-MD"/>
              </w:rPr>
            </w:pP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5669D99" w14:textId="77777777" w:rsidR="00E549A3" w:rsidRPr="00312485" w:rsidRDefault="00E549A3" w:rsidP="000E2A7E">
            <w:pPr>
              <w:ind w:firstLine="0"/>
              <w:jc w:val="left"/>
              <w:rPr>
                <w:sz w:val="24"/>
                <w:szCs w:val="24"/>
                <w:lang w:val="ro-MD"/>
              </w:rPr>
            </w:pP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CB8D838" w14:textId="77777777" w:rsidR="00E549A3" w:rsidRPr="00312485" w:rsidRDefault="00E549A3" w:rsidP="000E2A7E">
            <w:pPr>
              <w:ind w:firstLine="0"/>
              <w:jc w:val="left"/>
              <w:rPr>
                <w:sz w:val="24"/>
                <w:szCs w:val="24"/>
                <w:lang w:val="ro-MD"/>
              </w:rPr>
            </w:pP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4B8375" w14:textId="77777777" w:rsidR="00E549A3" w:rsidRPr="00312485" w:rsidRDefault="00E549A3" w:rsidP="000E2A7E">
            <w:pPr>
              <w:ind w:firstLine="0"/>
              <w:jc w:val="left"/>
              <w:rPr>
                <w:sz w:val="24"/>
                <w:szCs w:val="24"/>
                <w:lang w:val="ro-MD"/>
              </w:rPr>
            </w:pPr>
          </w:p>
        </w:tc>
      </w:tr>
      <w:tr w:rsidR="005864B9" w:rsidRPr="00312485" w14:paraId="5702E89A" w14:textId="77777777" w:rsidTr="000E2A7E">
        <w:trPr>
          <w:trHeight w:val="249"/>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8A242CD" w14:textId="77777777" w:rsidR="005864B9" w:rsidRPr="00312485" w:rsidRDefault="005864B9" w:rsidP="005864B9">
            <w:pPr>
              <w:ind w:left="315" w:firstLine="0"/>
              <w:jc w:val="left"/>
              <w:rPr>
                <w:rFonts w:eastAsia="Calibri"/>
                <w:sz w:val="18"/>
                <w:szCs w:val="18"/>
                <w:lang w:val="ro-MD"/>
              </w:rPr>
            </w:pPr>
            <w:r w:rsidRPr="00312485">
              <w:rPr>
                <w:rFonts w:eastAsia="Calibri"/>
                <w:color w:val="000000"/>
                <w:sz w:val="18"/>
                <w:szCs w:val="18"/>
                <w:lang w:val="ro-MD"/>
              </w:rPr>
              <w:t>împrumuturi externe</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3E9693E"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1 379</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C776742"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51</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BC13301" w14:textId="65E2A3C8"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10 354</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DCE9A02" w14:textId="4450F13B"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13 335</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9F72741"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0,.4%</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9A9AB14"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0,01%</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D14D629"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2,7%</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368D011"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3,2%</w:t>
            </w:r>
          </w:p>
        </w:tc>
      </w:tr>
      <w:tr w:rsidR="005864B9" w:rsidRPr="00312485" w14:paraId="5A7A4939" w14:textId="77777777" w:rsidTr="000E2A7E">
        <w:trPr>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5A24047" w14:textId="77777777" w:rsidR="005864B9" w:rsidRPr="00312485" w:rsidRDefault="005864B9" w:rsidP="005864B9">
            <w:pPr>
              <w:ind w:left="315" w:firstLine="0"/>
              <w:jc w:val="left"/>
              <w:rPr>
                <w:rFonts w:eastAsia="Calibri"/>
                <w:sz w:val="18"/>
                <w:szCs w:val="18"/>
                <w:lang w:val="ro-MD"/>
              </w:rPr>
            </w:pPr>
            <w:r w:rsidRPr="00312485">
              <w:rPr>
                <w:rFonts w:eastAsia="Calibri"/>
                <w:color w:val="000000"/>
                <w:sz w:val="18"/>
                <w:szCs w:val="18"/>
                <w:lang w:val="ro-MD"/>
              </w:rPr>
              <w:t>împrumuturi interne</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C889F96" w14:textId="77777777" w:rsidR="005864B9" w:rsidRPr="00312485" w:rsidRDefault="005864B9" w:rsidP="005864B9">
            <w:pPr>
              <w:ind w:firstLine="0"/>
              <w:jc w:val="center"/>
              <w:rPr>
                <w:sz w:val="16"/>
                <w:szCs w:val="16"/>
                <w:lang w:val="ro-MD"/>
              </w:rPr>
            </w:pPr>
            <w:r w:rsidRPr="00312485">
              <w:rPr>
                <w:color w:val="000000"/>
                <w:sz w:val="16"/>
                <w:szCs w:val="16"/>
                <w:shd w:val="clear" w:color="auto" w:fill="FFFFFF"/>
                <w:lang w:val="ro-MD"/>
              </w:rPr>
              <w:t>9 392</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5F1563" w14:textId="77777777" w:rsidR="005864B9" w:rsidRPr="00312485" w:rsidRDefault="005864B9" w:rsidP="005864B9">
            <w:pPr>
              <w:ind w:firstLine="0"/>
              <w:jc w:val="center"/>
              <w:rPr>
                <w:sz w:val="16"/>
                <w:szCs w:val="16"/>
                <w:lang w:val="ro-MD"/>
              </w:rPr>
            </w:pPr>
            <w:r w:rsidRPr="00312485">
              <w:rPr>
                <w:color w:val="000000"/>
                <w:sz w:val="16"/>
                <w:szCs w:val="16"/>
                <w:shd w:val="clear" w:color="auto" w:fill="FFFFFF"/>
                <w:lang w:val="ro-MD"/>
              </w:rPr>
              <w:t>9 227</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AC42CE9" w14:textId="5D0C885F"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8 117</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2FBDE75" w14:textId="406E54A0"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8 618</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3920161"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2,4%</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34B95AC"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2,2%</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5B99A23"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2,1%</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C5B0276" w14:textId="77777777" w:rsidR="005864B9" w:rsidRPr="00312485" w:rsidRDefault="005864B9" w:rsidP="005864B9">
            <w:pPr>
              <w:ind w:firstLine="0"/>
              <w:jc w:val="center"/>
              <w:rPr>
                <w:sz w:val="24"/>
                <w:szCs w:val="24"/>
                <w:lang w:val="ro-MD"/>
              </w:rPr>
            </w:pPr>
            <w:r w:rsidRPr="00312485">
              <w:rPr>
                <w:color w:val="000000"/>
                <w:sz w:val="16"/>
                <w:szCs w:val="16"/>
                <w:shd w:val="clear" w:color="auto" w:fill="FFFFFF"/>
                <w:lang w:val="ro-MD"/>
              </w:rPr>
              <w:t>2,1%</w:t>
            </w:r>
          </w:p>
        </w:tc>
      </w:tr>
      <w:tr w:rsidR="005864B9" w:rsidRPr="00312485" w14:paraId="521A75C3" w14:textId="77777777" w:rsidTr="000E2A7E">
        <w:trPr>
          <w:trHeight w:val="303"/>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2058002D" w14:textId="77777777" w:rsidR="005864B9" w:rsidRPr="00312485" w:rsidRDefault="005864B9" w:rsidP="005864B9">
            <w:pPr>
              <w:ind w:firstLine="0"/>
              <w:jc w:val="left"/>
              <w:rPr>
                <w:rFonts w:eastAsia="Calibri"/>
                <w:sz w:val="18"/>
                <w:szCs w:val="18"/>
                <w:lang w:val="ro-MD"/>
              </w:rPr>
            </w:pPr>
            <w:r w:rsidRPr="00312485">
              <w:rPr>
                <w:rFonts w:eastAsia="Calibri"/>
                <w:color w:val="000000"/>
                <w:sz w:val="18"/>
                <w:szCs w:val="18"/>
                <w:lang w:val="ro-MD"/>
              </w:rPr>
              <w:t>Alte surse de finanțare</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6B0B8A79"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-321</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34CC32C7"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1 122</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18C4C8A6" w14:textId="26B362F4"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2 043</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50523F4D" w14:textId="40F28083"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-19</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7E53533F"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-0,1%</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5DAD95C4"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0,3%</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67576009"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0,5%</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1E0C1F53" w14:textId="77777777" w:rsidR="005864B9" w:rsidRPr="00312485" w:rsidRDefault="005864B9" w:rsidP="005864B9">
            <w:pPr>
              <w:ind w:firstLine="0"/>
              <w:jc w:val="center"/>
              <w:rPr>
                <w:color w:val="000000"/>
                <w:sz w:val="16"/>
                <w:szCs w:val="16"/>
                <w:shd w:val="clear" w:color="auto" w:fill="FFFFFF"/>
                <w:lang w:val="ro-MD"/>
              </w:rPr>
            </w:pPr>
            <w:r w:rsidRPr="00312485">
              <w:rPr>
                <w:color w:val="000000"/>
                <w:sz w:val="16"/>
                <w:szCs w:val="16"/>
                <w:shd w:val="clear" w:color="auto" w:fill="FFFFFF"/>
                <w:lang w:val="ro-MD"/>
              </w:rPr>
              <w:t>-0,01%</w:t>
            </w:r>
          </w:p>
        </w:tc>
      </w:tr>
      <w:tr w:rsidR="00E549A3" w:rsidRPr="00312485" w14:paraId="0DFE711E" w14:textId="77777777" w:rsidTr="000E2A7E">
        <w:trPr>
          <w:trHeight w:val="279"/>
          <w:jc w:val="center"/>
        </w:trPr>
        <w:tc>
          <w:tcPr>
            <w:tcW w:w="139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C24A609" w14:textId="77777777" w:rsidR="00E549A3" w:rsidRPr="00312485" w:rsidRDefault="00E549A3" w:rsidP="000E2A7E">
            <w:pPr>
              <w:ind w:firstLine="0"/>
              <w:jc w:val="left"/>
              <w:rPr>
                <w:rFonts w:eastAsia="Calibri"/>
                <w:sz w:val="18"/>
                <w:szCs w:val="18"/>
                <w:lang w:val="ro-MD"/>
              </w:rPr>
            </w:pPr>
            <w:r w:rsidRPr="00312485">
              <w:rPr>
                <w:rFonts w:eastAsia="Calibri"/>
                <w:sz w:val="18"/>
                <w:szCs w:val="18"/>
                <w:lang w:val="ro-MD"/>
              </w:rPr>
              <w:t>Deficit de finanțare</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028C34" w14:textId="77777777" w:rsidR="00E549A3" w:rsidRPr="00312485" w:rsidRDefault="00E549A3" w:rsidP="000E2A7E">
            <w:pPr>
              <w:ind w:firstLine="0"/>
              <w:jc w:val="center"/>
              <w:rPr>
                <w:rFonts w:eastAsia="Calibri"/>
                <w:sz w:val="16"/>
                <w:szCs w:val="16"/>
                <w:lang w:val="ro-MD"/>
              </w:rPr>
            </w:pPr>
            <w:r w:rsidRPr="00312485">
              <w:rPr>
                <w:color w:val="000000"/>
                <w:sz w:val="16"/>
                <w:szCs w:val="16"/>
                <w:shd w:val="clear" w:color="auto" w:fill="FFFFFF"/>
                <w:lang w:val="ro-MD"/>
              </w:rPr>
              <w:t>3 000</w:t>
            </w:r>
          </w:p>
        </w:tc>
        <w:tc>
          <w:tcPr>
            <w:tcW w:w="435"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DC94DB4" w14:textId="77777777" w:rsidR="00E549A3" w:rsidRPr="00312485" w:rsidRDefault="00E549A3" w:rsidP="000E2A7E">
            <w:pPr>
              <w:ind w:firstLine="0"/>
              <w:jc w:val="center"/>
              <w:rPr>
                <w:rFonts w:eastAsia="Calibri"/>
                <w:sz w:val="16"/>
                <w:szCs w:val="16"/>
                <w:lang w:val="ro-MD"/>
              </w:rPr>
            </w:pPr>
            <w:r w:rsidRPr="00312485">
              <w:rPr>
                <w:rFonts w:eastAsia="Calibri"/>
                <w:sz w:val="16"/>
                <w:szCs w:val="16"/>
                <w:lang w:val="ro-MD"/>
              </w:rPr>
              <w:t>3 000</w:t>
            </w:r>
          </w:p>
        </w:tc>
        <w:tc>
          <w:tcPr>
            <w:tcW w:w="457"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EB6CFAD" w14:textId="77777777" w:rsidR="00E549A3" w:rsidRPr="00312485" w:rsidRDefault="00E549A3" w:rsidP="000E2A7E">
            <w:pPr>
              <w:ind w:firstLine="0"/>
              <w:jc w:val="center"/>
              <w:rPr>
                <w:sz w:val="24"/>
                <w:szCs w:val="24"/>
                <w:lang w:val="ro-MD"/>
              </w:rPr>
            </w:pPr>
            <w:r w:rsidRPr="00312485">
              <w:rPr>
                <w:sz w:val="24"/>
                <w:szCs w:val="24"/>
                <w:lang w:val="ro-MD"/>
              </w:rPr>
              <w:t>-</w:t>
            </w:r>
          </w:p>
        </w:tc>
        <w:tc>
          <w:tcPr>
            <w:tcW w:w="45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649FF29" w14:textId="77777777" w:rsidR="00E549A3" w:rsidRPr="00312485" w:rsidRDefault="00E549A3" w:rsidP="000E2A7E">
            <w:pPr>
              <w:ind w:firstLine="0"/>
              <w:jc w:val="center"/>
              <w:rPr>
                <w:sz w:val="24"/>
                <w:szCs w:val="24"/>
                <w:lang w:val="ro-MD"/>
              </w:rPr>
            </w:pPr>
            <w:r w:rsidRPr="00312485">
              <w:rPr>
                <w:sz w:val="24"/>
                <w:szCs w:val="24"/>
                <w:lang w:val="ro-MD"/>
              </w:rPr>
              <w:t>-</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FCE7D2B"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0,8%</w:t>
            </w:r>
          </w:p>
        </w:tc>
        <w:tc>
          <w:tcPr>
            <w:tcW w:w="443"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FA4BA15" w14:textId="77777777" w:rsidR="00E549A3" w:rsidRPr="00312485" w:rsidRDefault="00E549A3" w:rsidP="000E2A7E">
            <w:pPr>
              <w:ind w:firstLine="0"/>
              <w:jc w:val="center"/>
              <w:rPr>
                <w:sz w:val="24"/>
                <w:szCs w:val="24"/>
                <w:lang w:val="ro-MD"/>
              </w:rPr>
            </w:pPr>
            <w:r w:rsidRPr="00312485">
              <w:rPr>
                <w:color w:val="000000"/>
                <w:sz w:val="16"/>
                <w:szCs w:val="16"/>
                <w:shd w:val="clear" w:color="auto" w:fill="FFFFFF"/>
                <w:lang w:val="ro-MD"/>
              </w:rPr>
              <w:t>0,7%</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D837AD7" w14:textId="77777777" w:rsidR="00E549A3" w:rsidRPr="00312485" w:rsidRDefault="00E549A3" w:rsidP="000E2A7E">
            <w:pPr>
              <w:ind w:firstLine="0"/>
              <w:jc w:val="center"/>
              <w:rPr>
                <w:sz w:val="24"/>
                <w:szCs w:val="24"/>
                <w:lang w:val="ro-MD"/>
              </w:rPr>
            </w:pPr>
            <w:r w:rsidRPr="00312485">
              <w:rPr>
                <w:sz w:val="24"/>
                <w:szCs w:val="24"/>
                <w:lang w:val="ro-MD"/>
              </w:rPr>
              <w:t>-</w:t>
            </w:r>
          </w:p>
        </w:tc>
        <w:tc>
          <w:tcPr>
            <w:tcW w:w="468" w:type="pc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80C6152" w14:textId="77777777" w:rsidR="00E549A3" w:rsidRPr="00312485" w:rsidRDefault="00E549A3" w:rsidP="000E2A7E">
            <w:pPr>
              <w:ind w:firstLine="0"/>
              <w:jc w:val="center"/>
              <w:rPr>
                <w:sz w:val="24"/>
                <w:szCs w:val="24"/>
                <w:lang w:val="ro-MD"/>
              </w:rPr>
            </w:pPr>
            <w:r w:rsidRPr="00312485">
              <w:rPr>
                <w:sz w:val="24"/>
                <w:szCs w:val="24"/>
                <w:lang w:val="ro-MD"/>
              </w:rPr>
              <w:t>-</w:t>
            </w:r>
          </w:p>
        </w:tc>
      </w:tr>
    </w:tbl>
    <w:p w14:paraId="754635C8" w14:textId="77777777" w:rsidR="00E549A3" w:rsidRPr="00312485" w:rsidRDefault="00E549A3" w:rsidP="00E549A3">
      <w:pPr>
        <w:ind w:firstLine="720"/>
        <w:rPr>
          <w:rFonts w:eastAsia="Calibri"/>
          <w:bCs/>
          <w:i/>
          <w:iCs/>
          <w:color w:val="000000"/>
          <w:sz w:val="16"/>
          <w:szCs w:val="22"/>
          <w:lang w:val="ro-MD"/>
        </w:rPr>
      </w:pPr>
      <w:r w:rsidRPr="00312485">
        <w:rPr>
          <w:rFonts w:eastAsia="Calibri"/>
          <w:bCs/>
          <w:i/>
          <w:iCs/>
          <w:color w:val="000000"/>
          <w:sz w:val="16"/>
          <w:szCs w:val="22"/>
          <w:lang w:val="ro-MD"/>
        </w:rPr>
        <w:t>Sursa: Ministerul Finanțelor</w:t>
      </w:r>
    </w:p>
    <w:p w14:paraId="218A281A" w14:textId="77777777" w:rsidR="00E549A3" w:rsidRPr="00312485" w:rsidRDefault="00E549A3" w:rsidP="00E549A3">
      <w:pPr>
        <w:pStyle w:val="Table"/>
        <w:shd w:val="clear" w:color="auto" w:fill="FFFFFF" w:themeFill="background1"/>
        <w:spacing w:before="0" w:line="240" w:lineRule="auto"/>
        <w:ind w:firstLine="567"/>
        <w:contextualSpacing/>
        <w:jc w:val="both"/>
        <w:rPr>
          <w:rFonts w:ascii="Times New Roman" w:hAnsi="Times New Roman"/>
          <w:b w:val="0"/>
          <w:color w:val="auto"/>
          <w:sz w:val="24"/>
          <w:szCs w:val="24"/>
          <w:lang w:val="ro-MD" w:eastAsia="ru-RU"/>
        </w:rPr>
      </w:pPr>
    </w:p>
    <w:p w14:paraId="4C313D65" w14:textId="59AE9AC0" w:rsidR="00E549A3" w:rsidRPr="00312485" w:rsidRDefault="00E549A3" w:rsidP="00E549A3">
      <w:pPr>
        <w:pStyle w:val="Table"/>
        <w:shd w:val="clear" w:color="auto" w:fill="FFFFFF" w:themeFill="background1"/>
        <w:spacing w:before="0" w:line="240" w:lineRule="auto"/>
        <w:ind w:firstLine="567"/>
        <w:contextualSpacing/>
        <w:jc w:val="both"/>
        <w:rPr>
          <w:rFonts w:ascii="Times New Roman" w:hAnsi="Times New Roman"/>
          <w:b w:val="0"/>
          <w:color w:val="auto"/>
          <w:sz w:val="24"/>
          <w:szCs w:val="24"/>
          <w:lang w:val="ro-MD" w:eastAsia="ru-RU"/>
        </w:rPr>
      </w:pPr>
      <w:r w:rsidRPr="00312485">
        <w:rPr>
          <w:rFonts w:ascii="Times New Roman" w:hAnsi="Times New Roman"/>
          <w:b w:val="0"/>
          <w:color w:val="auto"/>
          <w:sz w:val="24"/>
          <w:szCs w:val="24"/>
          <w:lang w:val="ro-MD" w:eastAsia="ru-RU"/>
        </w:rPr>
        <w:t xml:space="preserve">Față de CBTM </w:t>
      </w:r>
      <w:r w:rsidR="00006EC4">
        <w:rPr>
          <w:rFonts w:ascii="Times New Roman" w:hAnsi="Times New Roman"/>
          <w:b w:val="0"/>
          <w:color w:val="auto"/>
          <w:sz w:val="24"/>
          <w:szCs w:val="24"/>
          <w:lang w:val="ro-MD" w:eastAsia="ru-RU"/>
        </w:rPr>
        <w:t>(</w:t>
      </w:r>
      <w:r w:rsidRPr="00312485">
        <w:rPr>
          <w:rFonts w:ascii="Times New Roman" w:hAnsi="Times New Roman"/>
          <w:b w:val="0"/>
          <w:color w:val="auto"/>
          <w:sz w:val="24"/>
          <w:szCs w:val="24"/>
          <w:lang w:val="ro-MD" w:eastAsia="ru-RU"/>
        </w:rPr>
        <w:t>2025-2027</w:t>
      </w:r>
      <w:r w:rsidR="00006EC4">
        <w:rPr>
          <w:rFonts w:ascii="Times New Roman" w:hAnsi="Times New Roman"/>
          <w:b w:val="0"/>
          <w:color w:val="auto"/>
          <w:sz w:val="24"/>
          <w:szCs w:val="24"/>
          <w:lang w:val="ro-MD" w:eastAsia="ru-RU"/>
        </w:rPr>
        <w:t>)</w:t>
      </w:r>
      <w:r w:rsidRPr="00312485">
        <w:rPr>
          <w:rFonts w:ascii="Times New Roman" w:hAnsi="Times New Roman"/>
          <w:b w:val="0"/>
          <w:color w:val="auto"/>
          <w:sz w:val="24"/>
          <w:szCs w:val="24"/>
          <w:lang w:val="ro-MD" w:eastAsia="ru-RU"/>
        </w:rPr>
        <w:t>, pentru anii 202</w:t>
      </w:r>
      <w:r w:rsidR="00B65ACD">
        <w:rPr>
          <w:rFonts w:ascii="Times New Roman" w:hAnsi="Times New Roman"/>
          <w:b w:val="0"/>
          <w:color w:val="auto"/>
          <w:sz w:val="24"/>
          <w:szCs w:val="24"/>
          <w:lang w:val="ro-MD" w:eastAsia="ru-RU"/>
        </w:rPr>
        <w:t>6</w:t>
      </w:r>
      <w:r w:rsidRPr="00312485">
        <w:rPr>
          <w:rFonts w:ascii="Times New Roman" w:hAnsi="Times New Roman"/>
          <w:b w:val="0"/>
          <w:color w:val="auto"/>
          <w:sz w:val="24"/>
          <w:szCs w:val="24"/>
          <w:lang w:val="ro-MD" w:eastAsia="ru-RU"/>
        </w:rPr>
        <w:t>-202</w:t>
      </w:r>
      <w:r w:rsidR="00B65ACD">
        <w:rPr>
          <w:rFonts w:ascii="Times New Roman" w:hAnsi="Times New Roman"/>
          <w:b w:val="0"/>
          <w:color w:val="auto"/>
          <w:sz w:val="24"/>
          <w:szCs w:val="24"/>
          <w:lang w:val="ro-MD" w:eastAsia="ru-RU"/>
        </w:rPr>
        <w:t>7</w:t>
      </w:r>
      <w:r w:rsidRPr="00312485">
        <w:rPr>
          <w:rFonts w:ascii="Times New Roman" w:hAnsi="Times New Roman"/>
          <w:b w:val="0"/>
          <w:color w:val="auto"/>
          <w:sz w:val="24"/>
          <w:szCs w:val="24"/>
          <w:lang w:val="ro-MD" w:eastAsia="ru-RU"/>
        </w:rPr>
        <w:t xml:space="preserve"> veniturile bugetului public național au fost revizuite, primordial din contul încasărilor din impozite și taxe cu circa 2,7% în PIB în anul 202</w:t>
      </w:r>
      <w:r w:rsidR="00B65ACD">
        <w:rPr>
          <w:rFonts w:ascii="Times New Roman" w:hAnsi="Times New Roman"/>
          <w:b w:val="0"/>
          <w:color w:val="auto"/>
          <w:sz w:val="24"/>
          <w:szCs w:val="24"/>
          <w:lang w:val="ro-MD" w:eastAsia="ru-RU"/>
        </w:rPr>
        <w:t>6</w:t>
      </w:r>
      <w:r w:rsidRPr="00312485">
        <w:rPr>
          <w:rFonts w:ascii="Times New Roman" w:hAnsi="Times New Roman"/>
          <w:b w:val="0"/>
          <w:color w:val="auto"/>
          <w:sz w:val="24"/>
          <w:szCs w:val="24"/>
          <w:lang w:val="ro-MD" w:eastAsia="ru-RU"/>
        </w:rPr>
        <w:t xml:space="preserve"> și 2,9% în PIB în anul 202</w:t>
      </w:r>
      <w:r w:rsidR="00B65ACD">
        <w:rPr>
          <w:rFonts w:ascii="Times New Roman" w:hAnsi="Times New Roman"/>
          <w:b w:val="0"/>
          <w:color w:val="auto"/>
          <w:sz w:val="24"/>
          <w:szCs w:val="24"/>
          <w:lang w:val="ro-MD" w:eastAsia="ru-RU"/>
        </w:rPr>
        <w:t>7</w:t>
      </w:r>
      <w:bookmarkStart w:id="5" w:name="_GoBack"/>
      <w:bookmarkEnd w:id="5"/>
      <w:r w:rsidRPr="00312485">
        <w:rPr>
          <w:rFonts w:ascii="Times New Roman" w:hAnsi="Times New Roman"/>
          <w:b w:val="0"/>
          <w:color w:val="auto"/>
          <w:sz w:val="24"/>
          <w:szCs w:val="24"/>
          <w:lang w:val="ro-MD" w:eastAsia="ru-RU"/>
        </w:rPr>
        <w:t>, și anume din impozitele pe venit și încasările din contribuțiile sociale și primele de asigurări medicale ca urmare a creșterii masei salariale cu circa 10,5% în 2026 și 9,3% în 2027, precum și ca urmare a încasărilor mai mari a acestor venituri în anul precedent. De asemenea, încasările din alte venituri au fost revizuite cu 0,3% în PIB anual, care urmare a încasărilor mai mari în anul 2024.</w:t>
      </w:r>
    </w:p>
    <w:p w14:paraId="630104A1" w14:textId="6783048F" w:rsidR="00E549A3" w:rsidRPr="00312485" w:rsidRDefault="00E549A3" w:rsidP="00ED0E19">
      <w:pPr>
        <w:spacing w:before="120"/>
        <w:ind w:firstLine="567"/>
        <w:rPr>
          <w:noProof/>
          <w:sz w:val="24"/>
          <w:szCs w:val="24"/>
          <w:lang w:val="ro-MD"/>
        </w:rPr>
      </w:pPr>
      <w:r w:rsidRPr="00312485">
        <w:rPr>
          <w:noProof/>
          <w:sz w:val="24"/>
          <w:szCs w:val="24"/>
          <w:lang w:val="ro-MD"/>
        </w:rPr>
        <w:t>Cheltuielile bugetare estimate pentru 2026-2027 în cadrul exercițiului curent comparativ cu estimările în cadrul exercițiului CBTM (2025-2027), sub aspect funcțional, se prezintă în tabelul ce urmează:</w:t>
      </w:r>
    </w:p>
    <w:p w14:paraId="71C8201C" w14:textId="7D162A89" w:rsidR="00E549A3" w:rsidRPr="00312485" w:rsidRDefault="00E549A3" w:rsidP="00E549A3">
      <w:pPr>
        <w:autoSpaceDE w:val="0"/>
        <w:autoSpaceDN w:val="0"/>
        <w:adjustRightInd w:val="0"/>
        <w:ind w:firstLine="0"/>
        <w:jc w:val="right"/>
        <w:rPr>
          <w:rFonts w:asciiTheme="majorBidi" w:hAnsiTheme="majorBidi" w:cstheme="majorBidi"/>
          <w:b/>
          <w:bCs/>
          <w:noProof/>
          <w:sz w:val="22"/>
          <w:szCs w:val="28"/>
          <w:lang w:val="ro-MD"/>
        </w:rPr>
      </w:pPr>
      <w:r w:rsidRPr="00312485">
        <w:rPr>
          <w:rFonts w:asciiTheme="majorBidi" w:hAnsiTheme="majorBidi" w:cstheme="majorBidi"/>
          <w:b/>
          <w:bCs/>
          <w:noProof/>
          <w:sz w:val="22"/>
          <w:szCs w:val="28"/>
          <w:lang w:val="ro-MD"/>
        </w:rPr>
        <w:t xml:space="preserve">Tabelul </w:t>
      </w:r>
      <w:r w:rsidR="00677C19" w:rsidRPr="00312485">
        <w:rPr>
          <w:rFonts w:asciiTheme="majorBidi" w:hAnsiTheme="majorBidi" w:cstheme="majorBidi"/>
          <w:b/>
          <w:bCs/>
          <w:noProof/>
          <w:sz w:val="22"/>
          <w:szCs w:val="28"/>
          <w:lang w:val="ro-MD"/>
        </w:rPr>
        <w:t>5</w:t>
      </w:r>
      <w:r w:rsidRPr="00312485">
        <w:rPr>
          <w:rFonts w:asciiTheme="majorBidi" w:hAnsiTheme="majorBidi" w:cstheme="majorBidi"/>
          <w:b/>
          <w:bCs/>
          <w:noProof/>
          <w:sz w:val="22"/>
          <w:szCs w:val="28"/>
          <w:lang w:val="ro-MD"/>
        </w:rPr>
        <w:t>.2</w:t>
      </w:r>
    </w:p>
    <w:p w14:paraId="2584BC59" w14:textId="77777777" w:rsidR="00E549A3" w:rsidRPr="00312485" w:rsidRDefault="00E549A3" w:rsidP="00E549A3">
      <w:pPr>
        <w:autoSpaceDE w:val="0"/>
        <w:autoSpaceDN w:val="0"/>
        <w:adjustRightInd w:val="0"/>
        <w:ind w:firstLine="0"/>
        <w:jc w:val="center"/>
        <w:rPr>
          <w:b/>
          <w:sz w:val="24"/>
          <w:szCs w:val="24"/>
          <w:lang w:val="ro-MD" w:eastAsia="ru-RU"/>
        </w:rPr>
      </w:pP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991"/>
        <w:gridCol w:w="65"/>
        <w:gridCol w:w="788"/>
        <w:gridCol w:w="22"/>
        <w:gridCol w:w="673"/>
        <w:gridCol w:w="738"/>
        <w:gridCol w:w="671"/>
        <w:gridCol w:w="730"/>
        <w:gridCol w:w="668"/>
        <w:gridCol w:w="762"/>
      </w:tblGrid>
      <w:tr w:rsidR="00E549A3" w:rsidRPr="00312485" w14:paraId="69F8B2C5" w14:textId="77777777" w:rsidTr="00224E00">
        <w:trPr>
          <w:trHeight w:val="300"/>
          <w:tblHeader/>
        </w:trPr>
        <w:tc>
          <w:tcPr>
            <w:tcW w:w="1689" w:type="pct"/>
            <w:vMerge w:val="restart"/>
            <w:shd w:val="clear" w:color="auto" w:fill="auto"/>
            <w:hideMark/>
          </w:tcPr>
          <w:p w14:paraId="703A64A4" w14:textId="77777777" w:rsidR="00E549A3" w:rsidRPr="00312485" w:rsidRDefault="00E549A3" w:rsidP="000E2A7E">
            <w:pPr>
              <w:ind w:firstLine="0"/>
              <w:jc w:val="center"/>
              <w:rPr>
                <w:noProof/>
                <w:sz w:val="16"/>
                <w:szCs w:val="16"/>
                <w:lang w:val="ro-MD"/>
              </w:rPr>
            </w:pPr>
            <w:r w:rsidRPr="00312485">
              <w:rPr>
                <w:noProof/>
                <w:sz w:val="16"/>
                <w:szCs w:val="16"/>
                <w:lang w:val="ro-MD"/>
              </w:rPr>
              <w:t> </w:t>
            </w:r>
          </w:p>
        </w:tc>
        <w:tc>
          <w:tcPr>
            <w:tcW w:w="999" w:type="pct"/>
            <w:gridSpan w:val="3"/>
            <w:shd w:val="clear" w:color="auto" w:fill="auto"/>
            <w:noWrap/>
            <w:vAlign w:val="bottom"/>
            <w:hideMark/>
          </w:tcPr>
          <w:p w14:paraId="0B33DE45" w14:textId="77777777" w:rsidR="00E549A3" w:rsidRPr="00312485" w:rsidRDefault="00E549A3" w:rsidP="000E2A7E">
            <w:pPr>
              <w:ind w:firstLine="0"/>
              <w:jc w:val="center"/>
              <w:rPr>
                <w:b/>
                <w:noProof/>
                <w:sz w:val="16"/>
                <w:szCs w:val="16"/>
                <w:lang w:val="ro-MD"/>
              </w:rPr>
            </w:pPr>
            <w:r w:rsidRPr="00312485">
              <w:rPr>
                <w:b/>
                <w:noProof/>
                <w:sz w:val="16"/>
                <w:szCs w:val="16"/>
                <w:lang w:val="ro-MD"/>
              </w:rPr>
              <w:t>CBTM</w:t>
            </w:r>
          </w:p>
          <w:p w14:paraId="5FE2A5C0" w14:textId="23C43724" w:rsidR="00E549A3" w:rsidRPr="00312485" w:rsidRDefault="00642B7A" w:rsidP="000E2A7E">
            <w:pPr>
              <w:ind w:firstLine="0"/>
              <w:jc w:val="center"/>
              <w:rPr>
                <w:b/>
                <w:noProof/>
                <w:sz w:val="16"/>
                <w:szCs w:val="16"/>
                <w:lang w:val="ro-MD"/>
              </w:rPr>
            </w:pPr>
            <w:r>
              <w:rPr>
                <w:b/>
                <w:noProof/>
                <w:sz w:val="16"/>
                <w:szCs w:val="16"/>
                <w:lang w:val="ro-MD"/>
              </w:rPr>
              <w:t>(</w:t>
            </w:r>
            <w:r w:rsidR="00E549A3" w:rsidRPr="00312485">
              <w:rPr>
                <w:b/>
                <w:noProof/>
                <w:sz w:val="16"/>
                <w:szCs w:val="16"/>
                <w:lang w:val="ro-MD"/>
              </w:rPr>
              <w:t>2025-2027</w:t>
            </w:r>
            <w:r>
              <w:rPr>
                <w:b/>
                <w:noProof/>
                <w:sz w:val="16"/>
                <w:szCs w:val="16"/>
                <w:lang w:val="ro-MD"/>
              </w:rPr>
              <w:t>)</w:t>
            </w:r>
          </w:p>
        </w:tc>
        <w:tc>
          <w:tcPr>
            <w:tcW w:w="777" w:type="pct"/>
            <w:gridSpan w:val="3"/>
            <w:shd w:val="clear" w:color="auto" w:fill="auto"/>
            <w:noWrap/>
            <w:vAlign w:val="bottom"/>
            <w:hideMark/>
          </w:tcPr>
          <w:p w14:paraId="14FDA8CB" w14:textId="77777777" w:rsidR="00E549A3" w:rsidRPr="00312485" w:rsidRDefault="00E549A3" w:rsidP="000E2A7E">
            <w:pPr>
              <w:ind w:firstLine="0"/>
              <w:jc w:val="center"/>
              <w:rPr>
                <w:b/>
                <w:noProof/>
                <w:sz w:val="16"/>
                <w:szCs w:val="16"/>
                <w:lang w:val="ro-MD"/>
              </w:rPr>
            </w:pPr>
            <w:r w:rsidRPr="00312485">
              <w:rPr>
                <w:b/>
                <w:noProof/>
                <w:sz w:val="16"/>
                <w:szCs w:val="16"/>
                <w:lang w:val="ro-MD"/>
              </w:rPr>
              <w:t>CBTM</w:t>
            </w:r>
          </w:p>
          <w:p w14:paraId="624138C1" w14:textId="5CBE045B" w:rsidR="00E549A3" w:rsidRPr="00312485" w:rsidRDefault="00642B7A" w:rsidP="000E2A7E">
            <w:pPr>
              <w:ind w:firstLine="0"/>
              <w:jc w:val="center"/>
              <w:rPr>
                <w:b/>
                <w:noProof/>
                <w:sz w:val="16"/>
                <w:szCs w:val="16"/>
                <w:lang w:val="ro-MD"/>
              </w:rPr>
            </w:pPr>
            <w:r>
              <w:rPr>
                <w:b/>
                <w:noProof/>
                <w:sz w:val="16"/>
                <w:szCs w:val="16"/>
                <w:lang w:val="ro-MD"/>
              </w:rPr>
              <w:t>(</w:t>
            </w:r>
            <w:r w:rsidR="00E549A3" w:rsidRPr="00312485">
              <w:rPr>
                <w:b/>
                <w:noProof/>
                <w:sz w:val="16"/>
                <w:szCs w:val="16"/>
                <w:lang w:val="ro-MD"/>
              </w:rPr>
              <w:t>2026-2028</w:t>
            </w:r>
            <w:r>
              <w:rPr>
                <w:b/>
                <w:noProof/>
                <w:sz w:val="16"/>
                <w:szCs w:val="16"/>
                <w:lang w:val="ro-MD"/>
              </w:rPr>
              <w:t>)</w:t>
            </w:r>
          </w:p>
        </w:tc>
        <w:tc>
          <w:tcPr>
            <w:tcW w:w="760" w:type="pct"/>
            <w:gridSpan w:val="2"/>
            <w:shd w:val="clear" w:color="auto" w:fill="auto"/>
            <w:noWrap/>
            <w:vAlign w:val="bottom"/>
            <w:hideMark/>
          </w:tcPr>
          <w:p w14:paraId="7B2B291D" w14:textId="77777777" w:rsidR="00E549A3" w:rsidRPr="00312485" w:rsidRDefault="00E549A3" w:rsidP="000E2A7E">
            <w:pPr>
              <w:ind w:firstLine="0"/>
              <w:jc w:val="center"/>
              <w:rPr>
                <w:b/>
                <w:noProof/>
                <w:sz w:val="16"/>
                <w:szCs w:val="16"/>
                <w:lang w:val="ro-MD"/>
              </w:rPr>
            </w:pPr>
            <w:r w:rsidRPr="00312485">
              <w:rPr>
                <w:b/>
                <w:noProof/>
                <w:sz w:val="16"/>
                <w:szCs w:val="16"/>
                <w:lang w:val="ro-MD"/>
              </w:rPr>
              <w:t>CBTM</w:t>
            </w:r>
          </w:p>
          <w:p w14:paraId="41D5380B" w14:textId="57EAB853" w:rsidR="00E549A3" w:rsidRPr="00312485" w:rsidRDefault="00642B7A" w:rsidP="000E2A7E">
            <w:pPr>
              <w:ind w:firstLine="0"/>
              <w:jc w:val="center"/>
              <w:rPr>
                <w:b/>
                <w:noProof/>
                <w:sz w:val="16"/>
                <w:szCs w:val="16"/>
                <w:lang w:val="ro-MD"/>
              </w:rPr>
            </w:pPr>
            <w:r>
              <w:rPr>
                <w:b/>
                <w:noProof/>
                <w:sz w:val="16"/>
                <w:szCs w:val="16"/>
                <w:lang w:val="ro-MD"/>
              </w:rPr>
              <w:t>(</w:t>
            </w:r>
            <w:r w:rsidR="00E549A3" w:rsidRPr="00312485">
              <w:rPr>
                <w:b/>
                <w:noProof/>
                <w:sz w:val="16"/>
                <w:szCs w:val="16"/>
                <w:lang w:val="ro-MD"/>
              </w:rPr>
              <w:t>2025-2027</w:t>
            </w:r>
            <w:r>
              <w:rPr>
                <w:b/>
                <w:noProof/>
                <w:sz w:val="16"/>
                <w:szCs w:val="16"/>
                <w:lang w:val="ro-MD"/>
              </w:rPr>
              <w:t>)</w:t>
            </w:r>
          </w:p>
        </w:tc>
        <w:tc>
          <w:tcPr>
            <w:tcW w:w="776" w:type="pct"/>
            <w:gridSpan w:val="2"/>
            <w:shd w:val="clear" w:color="auto" w:fill="auto"/>
            <w:noWrap/>
            <w:vAlign w:val="bottom"/>
            <w:hideMark/>
          </w:tcPr>
          <w:p w14:paraId="2BD3D73D" w14:textId="77777777" w:rsidR="00E549A3" w:rsidRPr="00312485" w:rsidRDefault="00E549A3" w:rsidP="000E2A7E">
            <w:pPr>
              <w:ind w:firstLine="0"/>
              <w:jc w:val="center"/>
              <w:rPr>
                <w:b/>
                <w:noProof/>
                <w:sz w:val="16"/>
                <w:szCs w:val="16"/>
                <w:lang w:val="ro-MD"/>
              </w:rPr>
            </w:pPr>
            <w:r w:rsidRPr="00312485">
              <w:rPr>
                <w:b/>
                <w:noProof/>
                <w:sz w:val="16"/>
                <w:szCs w:val="16"/>
                <w:lang w:val="ro-MD"/>
              </w:rPr>
              <w:t>CBTM</w:t>
            </w:r>
          </w:p>
          <w:p w14:paraId="78F4FF72" w14:textId="0782AD61" w:rsidR="00E549A3" w:rsidRPr="00312485" w:rsidRDefault="00642B7A" w:rsidP="00642B7A">
            <w:pPr>
              <w:ind w:firstLine="0"/>
              <w:jc w:val="center"/>
              <w:rPr>
                <w:b/>
                <w:noProof/>
                <w:sz w:val="16"/>
                <w:szCs w:val="16"/>
                <w:lang w:val="ro-MD"/>
              </w:rPr>
            </w:pPr>
            <w:r>
              <w:rPr>
                <w:b/>
                <w:noProof/>
                <w:sz w:val="16"/>
                <w:szCs w:val="16"/>
                <w:lang w:val="ro-MD"/>
              </w:rPr>
              <w:t>(</w:t>
            </w:r>
            <w:r w:rsidR="00E549A3" w:rsidRPr="00312485">
              <w:rPr>
                <w:b/>
                <w:noProof/>
                <w:sz w:val="16"/>
                <w:szCs w:val="16"/>
                <w:lang w:val="ro-MD"/>
              </w:rPr>
              <w:t>2026-2028</w:t>
            </w:r>
            <w:r>
              <w:rPr>
                <w:b/>
                <w:noProof/>
                <w:sz w:val="16"/>
                <w:szCs w:val="16"/>
                <w:lang w:val="ro-MD"/>
              </w:rPr>
              <w:t>)</w:t>
            </w:r>
          </w:p>
        </w:tc>
      </w:tr>
      <w:tr w:rsidR="00E549A3" w:rsidRPr="00312485" w14:paraId="2CEBABA4" w14:textId="77777777" w:rsidTr="00224E00">
        <w:trPr>
          <w:trHeight w:val="300"/>
          <w:tblHeader/>
        </w:trPr>
        <w:tc>
          <w:tcPr>
            <w:tcW w:w="1689" w:type="pct"/>
            <w:vMerge/>
            <w:vAlign w:val="center"/>
            <w:hideMark/>
          </w:tcPr>
          <w:p w14:paraId="04EF213D" w14:textId="77777777" w:rsidR="00E549A3" w:rsidRPr="00312485" w:rsidRDefault="00E549A3" w:rsidP="000E2A7E">
            <w:pPr>
              <w:ind w:firstLine="0"/>
              <w:jc w:val="left"/>
              <w:rPr>
                <w:noProof/>
                <w:sz w:val="16"/>
                <w:szCs w:val="16"/>
                <w:lang w:val="ro-MD"/>
              </w:rPr>
            </w:pPr>
          </w:p>
        </w:tc>
        <w:tc>
          <w:tcPr>
            <w:tcW w:w="537" w:type="pct"/>
            <w:shd w:val="clear" w:color="auto" w:fill="auto"/>
            <w:noWrap/>
            <w:vAlign w:val="center"/>
            <w:hideMark/>
          </w:tcPr>
          <w:p w14:paraId="64DAC353"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2026</w:t>
            </w:r>
          </w:p>
        </w:tc>
        <w:tc>
          <w:tcPr>
            <w:tcW w:w="461" w:type="pct"/>
            <w:gridSpan w:val="2"/>
            <w:shd w:val="clear" w:color="auto" w:fill="auto"/>
            <w:noWrap/>
            <w:vAlign w:val="center"/>
            <w:hideMark/>
          </w:tcPr>
          <w:p w14:paraId="378440C3"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2027</w:t>
            </w:r>
          </w:p>
        </w:tc>
        <w:tc>
          <w:tcPr>
            <w:tcW w:w="377" w:type="pct"/>
            <w:gridSpan w:val="2"/>
            <w:shd w:val="clear" w:color="auto" w:fill="auto"/>
            <w:noWrap/>
            <w:vAlign w:val="center"/>
            <w:hideMark/>
          </w:tcPr>
          <w:p w14:paraId="67B54B1C"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2026</w:t>
            </w:r>
          </w:p>
        </w:tc>
        <w:tc>
          <w:tcPr>
            <w:tcW w:w="400" w:type="pct"/>
            <w:shd w:val="clear" w:color="auto" w:fill="auto"/>
            <w:noWrap/>
            <w:vAlign w:val="center"/>
            <w:hideMark/>
          </w:tcPr>
          <w:p w14:paraId="310F5BF2"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2027</w:t>
            </w:r>
          </w:p>
        </w:tc>
        <w:tc>
          <w:tcPr>
            <w:tcW w:w="364" w:type="pct"/>
            <w:shd w:val="clear" w:color="auto" w:fill="auto"/>
            <w:noWrap/>
            <w:vAlign w:val="center"/>
            <w:hideMark/>
          </w:tcPr>
          <w:p w14:paraId="35472689"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2026</w:t>
            </w:r>
          </w:p>
        </w:tc>
        <w:tc>
          <w:tcPr>
            <w:tcW w:w="396" w:type="pct"/>
            <w:shd w:val="clear" w:color="auto" w:fill="auto"/>
            <w:noWrap/>
            <w:vAlign w:val="center"/>
            <w:hideMark/>
          </w:tcPr>
          <w:p w14:paraId="059E2486"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2027</w:t>
            </w:r>
          </w:p>
        </w:tc>
        <w:tc>
          <w:tcPr>
            <w:tcW w:w="362" w:type="pct"/>
            <w:shd w:val="clear" w:color="auto" w:fill="auto"/>
            <w:noWrap/>
            <w:vAlign w:val="center"/>
            <w:hideMark/>
          </w:tcPr>
          <w:p w14:paraId="1EEBD87C"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2026</w:t>
            </w:r>
          </w:p>
        </w:tc>
        <w:tc>
          <w:tcPr>
            <w:tcW w:w="414" w:type="pct"/>
            <w:shd w:val="clear" w:color="auto" w:fill="auto"/>
            <w:noWrap/>
            <w:vAlign w:val="center"/>
            <w:hideMark/>
          </w:tcPr>
          <w:p w14:paraId="58DCE28A"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2027</w:t>
            </w:r>
          </w:p>
        </w:tc>
      </w:tr>
      <w:tr w:rsidR="00E549A3" w:rsidRPr="00312485" w14:paraId="058B4096" w14:textId="77777777" w:rsidTr="00DE5C78">
        <w:trPr>
          <w:trHeight w:val="300"/>
          <w:tblHeader/>
        </w:trPr>
        <w:tc>
          <w:tcPr>
            <w:tcW w:w="1689" w:type="pct"/>
            <w:vMerge/>
            <w:vAlign w:val="center"/>
            <w:hideMark/>
          </w:tcPr>
          <w:p w14:paraId="68246E72" w14:textId="77777777" w:rsidR="00E549A3" w:rsidRPr="00312485" w:rsidRDefault="00E549A3" w:rsidP="000E2A7E">
            <w:pPr>
              <w:ind w:firstLine="0"/>
              <w:jc w:val="left"/>
              <w:rPr>
                <w:noProof/>
                <w:sz w:val="16"/>
                <w:szCs w:val="16"/>
                <w:lang w:val="ro-MD"/>
              </w:rPr>
            </w:pPr>
          </w:p>
        </w:tc>
        <w:tc>
          <w:tcPr>
            <w:tcW w:w="1775" w:type="pct"/>
            <w:gridSpan w:val="6"/>
            <w:shd w:val="clear" w:color="auto" w:fill="auto"/>
            <w:noWrap/>
            <w:vAlign w:val="center"/>
            <w:hideMark/>
          </w:tcPr>
          <w:p w14:paraId="58ADEA46"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mil. lei</w:t>
            </w:r>
          </w:p>
        </w:tc>
        <w:tc>
          <w:tcPr>
            <w:tcW w:w="1535" w:type="pct"/>
            <w:gridSpan w:val="4"/>
            <w:shd w:val="clear" w:color="auto" w:fill="auto"/>
            <w:noWrap/>
            <w:vAlign w:val="center"/>
            <w:hideMark/>
          </w:tcPr>
          <w:p w14:paraId="2301579F"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 în PIB</w:t>
            </w:r>
          </w:p>
        </w:tc>
      </w:tr>
      <w:tr w:rsidR="00E549A3" w:rsidRPr="00312485" w14:paraId="2E40ACC0" w14:textId="77777777" w:rsidTr="00224E00">
        <w:trPr>
          <w:trHeight w:val="450"/>
        </w:trPr>
        <w:tc>
          <w:tcPr>
            <w:tcW w:w="1689" w:type="pct"/>
            <w:shd w:val="clear" w:color="000000" w:fill="F2F2F2"/>
            <w:noWrap/>
            <w:vAlign w:val="bottom"/>
            <w:hideMark/>
          </w:tcPr>
          <w:p w14:paraId="4A397B74" w14:textId="77777777" w:rsidR="00E549A3" w:rsidRPr="00312485" w:rsidRDefault="00E549A3" w:rsidP="000E2A7E">
            <w:pPr>
              <w:ind w:firstLine="0"/>
              <w:rPr>
                <w:b/>
                <w:bCs/>
                <w:noProof/>
                <w:sz w:val="16"/>
                <w:szCs w:val="16"/>
                <w:lang w:val="ro-MD"/>
              </w:rPr>
            </w:pPr>
            <w:r w:rsidRPr="00312485">
              <w:rPr>
                <w:b/>
                <w:bCs/>
                <w:noProof/>
                <w:sz w:val="16"/>
                <w:szCs w:val="16"/>
                <w:lang w:val="ro-MD"/>
              </w:rPr>
              <w:t>Total cheltuieli (excluzând plățile aferente dobânzilor)</w:t>
            </w:r>
          </w:p>
        </w:tc>
        <w:tc>
          <w:tcPr>
            <w:tcW w:w="572" w:type="pct"/>
            <w:gridSpan w:val="2"/>
            <w:shd w:val="clear" w:color="000000" w:fill="F2F2F2"/>
            <w:noWrap/>
            <w:vAlign w:val="center"/>
            <w:hideMark/>
          </w:tcPr>
          <w:p w14:paraId="1A41FD7D"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132 509</w:t>
            </w:r>
          </w:p>
        </w:tc>
        <w:tc>
          <w:tcPr>
            <w:tcW w:w="439" w:type="pct"/>
            <w:gridSpan w:val="2"/>
            <w:shd w:val="clear" w:color="000000" w:fill="F2F2F2"/>
            <w:noWrap/>
            <w:vAlign w:val="center"/>
            <w:hideMark/>
          </w:tcPr>
          <w:p w14:paraId="70A670E9"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143 301</w:t>
            </w:r>
          </w:p>
        </w:tc>
        <w:tc>
          <w:tcPr>
            <w:tcW w:w="364" w:type="pct"/>
            <w:shd w:val="clear" w:color="000000" w:fill="F2F2F2"/>
            <w:noWrap/>
            <w:vAlign w:val="center"/>
          </w:tcPr>
          <w:p w14:paraId="3C4685F1" w14:textId="77777777" w:rsidR="00E549A3" w:rsidRPr="00312485" w:rsidRDefault="00E549A3" w:rsidP="00567E59">
            <w:pPr>
              <w:ind w:left="-130" w:right="-32" w:firstLine="0"/>
              <w:jc w:val="center"/>
              <w:rPr>
                <w:b/>
                <w:bCs/>
                <w:noProof/>
                <w:sz w:val="16"/>
                <w:szCs w:val="16"/>
                <w:lang w:val="ro-MD"/>
              </w:rPr>
            </w:pPr>
            <w:r w:rsidRPr="00312485">
              <w:rPr>
                <w:b/>
                <w:bCs/>
                <w:noProof/>
                <w:sz w:val="16"/>
                <w:szCs w:val="16"/>
                <w:lang w:val="ro-MD"/>
              </w:rPr>
              <w:t>146 262</w:t>
            </w:r>
          </w:p>
        </w:tc>
        <w:tc>
          <w:tcPr>
            <w:tcW w:w="400" w:type="pct"/>
            <w:shd w:val="clear" w:color="000000" w:fill="F2F2F2"/>
            <w:noWrap/>
            <w:vAlign w:val="center"/>
          </w:tcPr>
          <w:p w14:paraId="788D4C95"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158 478</w:t>
            </w:r>
          </w:p>
        </w:tc>
        <w:tc>
          <w:tcPr>
            <w:tcW w:w="364" w:type="pct"/>
            <w:shd w:val="clear" w:color="000000" w:fill="F2F2F2"/>
            <w:noWrap/>
            <w:vAlign w:val="center"/>
            <w:hideMark/>
          </w:tcPr>
          <w:p w14:paraId="5FBFEEC2"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33,0</w:t>
            </w:r>
          </w:p>
        </w:tc>
        <w:tc>
          <w:tcPr>
            <w:tcW w:w="396" w:type="pct"/>
            <w:shd w:val="clear" w:color="000000" w:fill="F2F2F2"/>
            <w:noWrap/>
            <w:vAlign w:val="center"/>
            <w:hideMark/>
          </w:tcPr>
          <w:p w14:paraId="6137616A"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33,4</w:t>
            </w:r>
          </w:p>
        </w:tc>
        <w:tc>
          <w:tcPr>
            <w:tcW w:w="362" w:type="pct"/>
            <w:shd w:val="clear" w:color="000000" w:fill="F2F2F2"/>
            <w:noWrap/>
            <w:vAlign w:val="center"/>
          </w:tcPr>
          <w:p w14:paraId="24A110A7"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38,5</w:t>
            </w:r>
          </w:p>
        </w:tc>
        <w:tc>
          <w:tcPr>
            <w:tcW w:w="414" w:type="pct"/>
            <w:shd w:val="clear" w:color="000000" w:fill="F2F2F2"/>
            <w:noWrap/>
            <w:vAlign w:val="center"/>
          </w:tcPr>
          <w:p w14:paraId="520894C8" w14:textId="77777777" w:rsidR="00E549A3" w:rsidRPr="00312485" w:rsidRDefault="00E549A3" w:rsidP="000E2A7E">
            <w:pPr>
              <w:ind w:firstLine="0"/>
              <w:jc w:val="center"/>
              <w:rPr>
                <w:b/>
                <w:bCs/>
                <w:noProof/>
                <w:sz w:val="16"/>
                <w:szCs w:val="16"/>
                <w:lang w:val="ro-MD"/>
              </w:rPr>
            </w:pPr>
            <w:r w:rsidRPr="00312485">
              <w:rPr>
                <w:b/>
                <w:bCs/>
                <w:noProof/>
                <w:sz w:val="16"/>
                <w:szCs w:val="16"/>
                <w:lang w:val="ro-MD"/>
              </w:rPr>
              <w:t>38,5</w:t>
            </w:r>
          </w:p>
        </w:tc>
      </w:tr>
      <w:tr w:rsidR="00E549A3" w:rsidRPr="00312485" w14:paraId="5DE0A61C" w14:textId="77777777" w:rsidTr="00CD46DC">
        <w:trPr>
          <w:trHeight w:val="465"/>
        </w:trPr>
        <w:tc>
          <w:tcPr>
            <w:tcW w:w="1689" w:type="pct"/>
            <w:shd w:val="clear" w:color="auto" w:fill="auto"/>
            <w:vAlign w:val="bottom"/>
            <w:hideMark/>
          </w:tcPr>
          <w:p w14:paraId="02301167"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Servicii de stat cu destinație generală (excluzând plățile aferente dobânzilor)</w:t>
            </w:r>
          </w:p>
        </w:tc>
        <w:tc>
          <w:tcPr>
            <w:tcW w:w="572" w:type="pct"/>
            <w:gridSpan w:val="2"/>
            <w:shd w:val="clear" w:color="auto" w:fill="auto"/>
            <w:noWrap/>
            <w:vAlign w:val="center"/>
            <w:hideMark/>
          </w:tcPr>
          <w:p w14:paraId="0918531F" w14:textId="77777777" w:rsidR="00E549A3" w:rsidRPr="00312485" w:rsidRDefault="00E549A3" w:rsidP="000E2A7E">
            <w:pPr>
              <w:ind w:firstLine="0"/>
              <w:jc w:val="center"/>
              <w:rPr>
                <w:noProof/>
                <w:sz w:val="16"/>
                <w:szCs w:val="16"/>
                <w:lang w:val="ro-MD"/>
              </w:rPr>
            </w:pPr>
            <w:r w:rsidRPr="00312485">
              <w:rPr>
                <w:noProof/>
                <w:sz w:val="16"/>
                <w:szCs w:val="16"/>
                <w:lang w:val="ro-MD"/>
              </w:rPr>
              <w:t>6 594</w:t>
            </w:r>
          </w:p>
        </w:tc>
        <w:tc>
          <w:tcPr>
            <w:tcW w:w="439" w:type="pct"/>
            <w:gridSpan w:val="2"/>
            <w:shd w:val="clear" w:color="auto" w:fill="auto"/>
            <w:noWrap/>
            <w:vAlign w:val="center"/>
            <w:hideMark/>
          </w:tcPr>
          <w:p w14:paraId="0539704F" w14:textId="77777777" w:rsidR="00E549A3" w:rsidRPr="00312485" w:rsidRDefault="00E549A3" w:rsidP="000E2A7E">
            <w:pPr>
              <w:ind w:firstLine="0"/>
              <w:jc w:val="center"/>
              <w:rPr>
                <w:noProof/>
                <w:sz w:val="16"/>
                <w:szCs w:val="16"/>
                <w:lang w:val="ro-MD"/>
              </w:rPr>
            </w:pPr>
            <w:r w:rsidRPr="00312485">
              <w:rPr>
                <w:noProof/>
                <w:sz w:val="16"/>
                <w:szCs w:val="16"/>
                <w:lang w:val="ro-MD"/>
              </w:rPr>
              <w:t>6 782</w:t>
            </w:r>
          </w:p>
        </w:tc>
        <w:tc>
          <w:tcPr>
            <w:tcW w:w="364" w:type="pct"/>
            <w:shd w:val="clear" w:color="auto" w:fill="auto"/>
            <w:noWrap/>
            <w:vAlign w:val="center"/>
          </w:tcPr>
          <w:p w14:paraId="079638F8" w14:textId="77777777" w:rsidR="00E549A3" w:rsidRPr="00312485" w:rsidRDefault="00E549A3" w:rsidP="000E2A7E">
            <w:pPr>
              <w:ind w:firstLine="0"/>
              <w:jc w:val="center"/>
              <w:rPr>
                <w:noProof/>
                <w:sz w:val="16"/>
                <w:szCs w:val="16"/>
                <w:lang w:val="ro-MD"/>
              </w:rPr>
            </w:pPr>
            <w:r w:rsidRPr="00312485">
              <w:rPr>
                <w:noProof/>
                <w:sz w:val="16"/>
                <w:szCs w:val="16"/>
                <w:lang w:val="ro-MD"/>
              </w:rPr>
              <w:t>9 221</w:t>
            </w:r>
          </w:p>
        </w:tc>
        <w:tc>
          <w:tcPr>
            <w:tcW w:w="400" w:type="pct"/>
            <w:shd w:val="clear" w:color="auto" w:fill="auto"/>
            <w:noWrap/>
            <w:vAlign w:val="center"/>
          </w:tcPr>
          <w:p w14:paraId="2914481B" w14:textId="77777777" w:rsidR="00E549A3" w:rsidRPr="00312485" w:rsidRDefault="00E549A3" w:rsidP="000E2A7E">
            <w:pPr>
              <w:ind w:firstLine="0"/>
              <w:jc w:val="center"/>
              <w:rPr>
                <w:noProof/>
                <w:sz w:val="16"/>
                <w:szCs w:val="16"/>
                <w:lang w:val="ro-MD"/>
              </w:rPr>
            </w:pPr>
            <w:r w:rsidRPr="00312485">
              <w:rPr>
                <w:noProof/>
                <w:sz w:val="16"/>
                <w:szCs w:val="16"/>
                <w:lang w:val="ro-MD"/>
              </w:rPr>
              <w:t>9 674</w:t>
            </w:r>
          </w:p>
        </w:tc>
        <w:tc>
          <w:tcPr>
            <w:tcW w:w="364" w:type="pct"/>
            <w:shd w:val="clear" w:color="auto" w:fill="auto"/>
            <w:noWrap/>
            <w:vAlign w:val="center"/>
            <w:hideMark/>
          </w:tcPr>
          <w:p w14:paraId="0A1F07B9" w14:textId="77777777" w:rsidR="00E549A3" w:rsidRPr="00312485" w:rsidRDefault="00E549A3" w:rsidP="000E2A7E">
            <w:pPr>
              <w:ind w:firstLine="0"/>
              <w:jc w:val="center"/>
              <w:rPr>
                <w:noProof/>
                <w:sz w:val="16"/>
                <w:szCs w:val="16"/>
                <w:lang w:val="ro-MD"/>
              </w:rPr>
            </w:pPr>
            <w:r w:rsidRPr="00312485">
              <w:rPr>
                <w:noProof/>
                <w:sz w:val="16"/>
                <w:szCs w:val="16"/>
                <w:lang w:val="ro-MD"/>
              </w:rPr>
              <w:t>1,7</w:t>
            </w:r>
          </w:p>
        </w:tc>
        <w:tc>
          <w:tcPr>
            <w:tcW w:w="396" w:type="pct"/>
            <w:shd w:val="clear" w:color="auto" w:fill="auto"/>
            <w:noWrap/>
            <w:vAlign w:val="center"/>
            <w:hideMark/>
          </w:tcPr>
          <w:p w14:paraId="6377F938" w14:textId="77777777" w:rsidR="00E549A3" w:rsidRPr="00312485" w:rsidRDefault="00E549A3" w:rsidP="000E2A7E">
            <w:pPr>
              <w:ind w:firstLine="0"/>
              <w:jc w:val="center"/>
              <w:rPr>
                <w:noProof/>
                <w:sz w:val="16"/>
                <w:szCs w:val="16"/>
                <w:lang w:val="ro-MD"/>
              </w:rPr>
            </w:pPr>
            <w:r w:rsidRPr="00312485">
              <w:rPr>
                <w:noProof/>
                <w:sz w:val="16"/>
                <w:szCs w:val="16"/>
                <w:lang w:val="ro-MD"/>
              </w:rPr>
              <w:t>1,6</w:t>
            </w:r>
          </w:p>
        </w:tc>
        <w:tc>
          <w:tcPr>
            <w:tcW w:w="362" w:type="pct"/>
            <w:shd w:val="clear" w:color="auto" w:fill="auto"/>
            <w:noWrap/>
            <w:vAlign w:val="center"/>
          </w:tcPr>
          <w:p w14:paraId="0CA0B399" w14:textId="77777777" w:rsidR="00E549A3" w:rsidRPr="00312485" w:rsidRDefault="00E549A3" w:rsidP="000E2A7E">
            <w:pPr>
              <w:ind w:firstLine="0"/>
              <w:jc w:val="center"/>
              <w:rPr>
                <w:noProof/>
                <w:sz w:val="16"/>
                <w:szCs w:val="16"/>
                <w:lang w:val="ro-MD"/>
              </w:rPr>
            </w:pPr>
            <w:r w:rsidRPr="00312485">
              <w:rPr>
                <w:noProof/>
                <w:sz w:val="16"/>
                <w:szCs w:val="16"/>
                <w:lang w:val="ro-MD"/>
              </w:rPr>
              <w:t>2,4</w:t>
            </w:r>
          </w:p>
        </w:tc>
        <w:tc>
          <w:tcPr>
            <w:tcW w:w="414" w:type="pct"/>
            <w:shd w:val="clear" w:color="auto" w:fill="auto"/>
            <w:noWrap/>
            <w:vAlign w:val="center"/>
          </w:tcPr>
          <w:p w14:paraId="0C16B313" w14:textId="77777777" w:rsidR="00E549A3" w:rsidRPr="00312485" w:rsidRDefault="00E549A3" w:rsidP="000E2A7E">
            <w:pPr>
              <w:ind w:firstLine="0"/>
              <w:jc w:val="center"/>
              <w:rPr>
                <w:noProof/>
                <w:sz w:val="16"/>
                <w:szCs w:val="16"/>
                <w:lang w:val="ro-MD"/>
              </w:rPr>
            </w:pPr>
            <w:r w:rsidRPr="00312485">
              <w:rPr>
                <w:noProof/>
                <w:sz w:val="16"/>
                <w:szCs w:val="16"/>
                <w:lang w:val="ro-MD"/>
              </w:rPr>
              <w:t>2,3</w:t>
            </w:r>
          </w:p>
        </w:tc>
      </w:tr>
      <w:tr w:rsidR="00E549A3" w:rsidRPr="00312485" w14:paraId="2A61BC29" w14:textId="77777777" w:rsidTr="00224E00">
        <w:trPr>
          <w:trHeight w:val="300"/>
        </w:trPr>
        <w:tc>
          <w:tcPr>
            <w:tcW w:w="1689" w:type="pct"/>
            <w:shd w:val="clear" w:color="auto" w:fill="auto"/>
            <w:vAlign w:val="bottom"/>
            <w:hideMark/>
          </w:tcPr>
          <w:p w14:paraId="0E516195"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Apărare națională</w:t>
            </w:r>
          </w:p>
        </w:tc>
        <w:tc>
          <w:tcPr>
            <w:tcW w:w="572" w:type="pct"/>
            <w:gridSpan w:val="2"/>
            <w:shd w:val="clear" w:color="auto" w:fill="auto"/>
            <w:noWrap/>
            <w:vAlign w:val="bottom"/>
            <w:hideMark/>
          </w:tcPr>
          <w:p w14:paraId="631949B3" w14:textId="77777777" w:rsidR="00E549A3" w:rsidRPr="00312485" w:rsidRDefault="00E549A3" w:rsidP="000E2A7E">
            <w:pPr>
              <w:ind w:firstLine="0"/>
              <w:jc w:val="center"/>
              <w:rPr>
                <w:noProof/>
                <w:sz w:val="16"/>
                <w:szCs w:val="16"/>
                <w:lang w:val="ro-MD"/>
              </w:rPr>
            </w:pPr>
            <w:r w:rsidRPr="00312485">
              <w:rPr>
                <w:noProof/>
                <w:sz w:val="16"/>
                <w:szCs w:val="16"/>
                <w:lang w:val="ro-MD"/>
              </w:rPr>
              <w:t>1 741</w:t>
            </w:r>
          </w:p>
        </w:tc>
        <w:tc>
          <w:tcPr>
            <w:tcW w:w="439" w:type="pct"/>
            <w:gridSpan w:val="2"/>
            <w:shd w:val="clear" w:color="auto" w:fill="auto"/>
            <w:noWrap/>
            <w:vAlign w:val="bottom"/>
            <w:hideMark/>
          </w:tcPr>
          <w:p w14:paraId="5C2D372F" w14:textId="77777777" w:rsidR="00E549A3" w:rsidRPr="00312485" w:rsidRDefault="00E549A3" w:rsidP="000E2A7E">
            <w:pPr>
              <w:ind w:firstLine="0"/>
              <w:jc w:val="center"/>
              <w:rPr>
                <w:noProof/>
                <w:sz w:val="16"/>
                <w:szCs w:val="16"/>
                <w:lang w:val="ro-MD"/>
              </w:rPr>
            </w:pPr>
            <w:r w:rsidRPr="00312485">
              <w:rPr>
                <w:noProof/>
                <w:sz w:val="16"/>
                <w:szCs w:val="16"/>
                <w:lang w:val="ro-MD"/>
              </w:rPr>
              <w:t>1 741</w:t>
            </w:r>
          </w:p>
        </w:tc>
        <w:tc>
          <w:tcPr>
            <w:tcW w:w="364" w:type="pct"/>
            <w:shd w:val="clear" w:color="auto" w:fill="auto"/>
            <w:noWrap/>
            <w:vAlign w:val="bottom"/>
          </w:tcPr>
          <w:p w14:paraId="4DAAFA23" w14:textId="77777777" w:rsidR="00E549A3" w:rsidRPr="00312485" w:rsidRDefault="00E549A3" w:rsidP="000E2A7E">
            <w:pPr>
              <w:ind w:firstLine="0"/>
              <w:jc w:val="center"/>
              <w:rPr>
                <w:noProof/>
                <w:sz w:val="16"/>
                <w:szCs w:val="16"/>
                <w:lang w:val="ro-MD"/>
              </w:rPr>
            </w:pPr>
            <w:r w:rsidRPr="00312485">
              <w:rPr>
                <w:noProof/>
                <w:sz w:val="16"/>
                <w:szCs w:val="16"/>
                <w:lang w:val="ro-MD"/>
              </w:rPr>
              <w:t>1 905</w:t>
            </w:r>
          </w:p>
        </w:tc>
        <w:tc>
          <w:tcPr>
            <w:tcW w:w="400" w:type="pct"/>
            <w:shd w:val="clear" w:color="auto" w:fill="auto"/>
            <w:noWrap/>
            <w:vAlign w:val="bottom"/>
          </w:tcPr>
          <w:p w14:paraId="334AF86B" w14:textId="77777777" w:rsidR="00E549A3" w:rsidRPr="00312485" w:rsidRDefault="00E549A3" w:rsidP="000E2A7E">
            <w:pPr>
              <w:ind w:firstLine="0"/>
              <w:jc w:val="center"/>
              <w:rPr>
                <w:noProof/>
                <w:sz w:val="16"/>
                <w:szCs w:val="16"/>
                <w:lang w:val="ro-MD"/>
              </w:rPr>
            </w:pPr>
            <w:r w:rsidRPr="00312485">
              <w:rPr>
                <w:noProof/>
                <w:sz w:val="16"/>
                <w:szCs w:val="16"/>
                <w:lang w:val="ro-MD"/>
              </w:rPr>
              <w:t>1 906</w:t>
            </w:r>
          </w:p>
        </w:tc>
        <w:tc>
          <w:tcPr>
            <w:tcW w:w="364" w:type="pct"/>
            <w:shd w:val="clear" w:color="auto" w:fill="auto"/>
            <w:noWrap/>
            <w:vAlign w:val="bottom"/>
            <w:hideMark/>
          </w:tcPr>
          <w:p w14:paraId="5E28E355" w14:textId="77777777" w:rsidR="00E549A3" w:rsidRPr="00312485" w:rsidRDefault="00E549A3" w:rsidP="000E2A7E">
            <w:pPr>
              <w:ind w:firstLine="0"/>
              <w:jc w:val="center"/>
              <w:rPr>
                <w:noProof/>
                <w:sz w:val="16"/>
                <w:szCs w:val="16"/>
                <w:lang w:val="ro-MD"/>
              </w:rPr>
            </w:pPr>
            <w:r w:rsidRPr="00312485">
              <w:rPr>
                <w:noProof/>
                <w:sz w:val="16"/>
                <w:szCs w:val="16"/>
                <w:lang w:val="ro-MD"/>
              </w:rPr>
              <w:t>0,4</w:t>
            </w:r>
          </w:p>
        </w:tc>
        <w:tc>
          <w:tcPr>
            <w:tcW w:w="396" w:type="pct"/>
            <w:shd w:val="clear" w:color="auto" w:fill="auto"/>
            <w:noWrap/>
            <w:vAlign w:val="bottom"/>
            <w:hideMark/>
          </w:tcPr>
          <w:p w14:paraId="61A61223" w14:textId="77777777" w:rsidR="00E549A3" w:rsidRPr="00312485" w:rsidRDefault="00E549A3" w:rsidP="000E2A7E">
            <w:pPr>
              <w:ind w:firstLine="0"/>
              <w:jc w:val="center"/>
              <w:rPr>
                <w:noProof/>
                <w:sz w:val="16"/>
                <w:szCs w:val="16"/>
                <w:lang w:val="ro-MD"/>
              </w:rPr>
            </w:pPr>
            <w:r w:rsidRPr="00312485">
              <w:rPr>
                <w:noProof/>
                <w:sz w:val="16"/>
                <w:szCs w:val="16"/>
                <w:lang w:val="ro-MD"/>
              </w:rPr>
              <w:t>0,4</w:t>
            </w:r>
          </w:p>
        </w:tc>
        <w:tc>
          <w:tcPr>
            <w:tcW w:w="362" w:type="pct"/>
            <w:shd w:val="clear" w:color="auto" w:fill="auto"/>
            <w:noWrap/>
            <w:vAlign w:val="bottom"/>
          </w:tcPr>
          <w:p w14:paraId="3B12B5E3" w14:textId="77777777" w:rsidR="00E549A3" w:rsidRPr="00312485" w:rsidRDefault="00E549A3" w:rsidP="000E2A7E">
            <w:pPr>
              <w:ind w:firstLine="0"/>
              <w:jc w:val="center"/>
              <w:rPr>
                <w:noProof/>
                <w:sz w:val="16"/>
                <w:szCs w:val="16"/>
                <w:lang w:val="ro-MD"/>
              </w:rPr>
            </w:pPr>
            <w:r w:rsidRPr="00312485">
              <w:rPr>
                <w:noProof/>
                <w:sz w:val="16"/>
                <w:szCs w:val="16"/>
                <w:lang w:val="ro-MD"/>
              </w:rPr>
              <w:t>0,5</w:t>
            </w:r>
          </w:p>
        </w:tc>
        <w:tc>
          <w:tcPr>
            <w:tcW w:w="414" w:type="pct"/>
            <w:shd w:val="clear" w:color="auto" w:fill="auto"/>
            <w:noWrap/>
            <w:vAlign w:val="bottom"/>
          </w:tcPr>
          <w:p w14:paraId="57D891E4" w14:textId="77777777" w:rsidR="00E549A3" w:rsidRPr="00312485" w:rsidRDefault="00E549A3" w:rsidP="000E2A7E">
            <w:pPr>
              <w:ind w:firstLine="0"/>
              <w:jc w:val="center"/>
              <w:rPr>
                <w:noProof/>
                <w:sz w:val="16"/>
                <w:szCs w:val="16"/>
                <w:lang w:val="ro-MD"/>
              </w:rPr>
            </w:pPr>
            <w:r w:rsidRPr="00312485">
              <w:rPr>
                <w:noProof/>
                <w:sz w:val="16"/>
                <w:szCs w:val="16"/>
                <w:lang w:val="ro-MD"/>
              </w:rPr>
              <w:t>0,5</w:t>
            </w:r>
          </w:p>
        </w:tc>
      </w:tr>
      <w:tr w:rsidR="00E549A3" w:rsidRPr="00312485" w14:paraId="39EE5768" w14:textId="77777777" w:rsidTr="00224E00">
        <w:trPr>
          <w:trHeight w:val="300"/>
        </w:trPr>
        <w:tc>
          <w:tcPr>
            <w:tcW w:w="1689" w:type="pct"/>
            <w:shd w:val="clear" w:color="auto" w:fill="auto"/>
            <w:vAlign w:val="bottom"/>
            <w:hideMark/>
          </w:tcPr>
          <w:p w14:paraId="027C2CB1"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Ordine publică și securitate națională</w:t>
            </w:r>
          </w:p>
        </w:tc>
        <w:tc>
          <w:tcPr>
            <w:tcW w:w="572" w:type="pct"/>
            <w:gridSpan w:val="2"/>
            <w:shd w:val="clear" w:color="auto" w:fill="auto"/>
            <w:noWrap/>
            <w:vAlign w:val="bottom"/>
            <w:hideMark/>
          </w:tcPr>
          <w:p w14:paraId="70CB33D3" w14:textId="77777777" w:rsidR="00E549A3" w:rsidRPr="00312485" w:rsidRDefault="00E549A3" w:rsidP="000E2A7E">
            <w:pPr>
              <w:ind w:firstLine="0"/>
              <w:jc w:val="center"/>
              <w:rPr>
                <w:noProof/>
                <w:sz w:val="16"/>
                <w:szCs w:val="16"/>
                <w:lang w:val="ro-MD"/>
              </w:rPr>
            </w:pPr>
            <w:r w:rsidRPr="00312485">
              <w:rPr>
                <w:noProof/>
                <w:sz w:val="16"/>
                <w:szCs w:val="16"/>
                <w:lang w:val="ro-MD"/>
              </w:rPr>
              <w:t>7 634</w:t>
            </w:r>
          </w:p>
        </w:tc>
        <w:tc>
          <w:tcPr>
            <w:tcW w:w="439" w:type="pct"/>
            <w:gridSpan w:val="2"/>
            <w:shd w:val="clear" w:color="auto" w:fill="auto"/>
            <w:noWrap/>
            <w:vAlign w:val="bottom"/>
            <w:hideMark/>
          </w:tcPr>
          <w:p w14:paraId="3E902854" w14:textId="77777777" w:rsidR="00E549A3" w:rsidRPr="00312485" w:rsidRDefault="00E549A3" w:rsidP="000E2A7E">
            <w:pPr>
              <w:ind w:firstLine="0"/>
              <w:jc w:val="center"/>
              <w:rPr>
                <w:noProof/>
                <w:sz w:val="16"/>
                <w:szCs w:val="16"/>
                <w:lang w:val="ro-MD"/>
              </w:rPr>
            </w:pPr>
            <w:r w:rsidRPr="00312485">
              <w:rPr>
                <w:noProof/>
                <w:sz w:val="16"/>
                <w:szCs w:val="16"/>
                <w:lang w:val="ro-MD"/>
              </w:rPr>
              <w:t>7 607</w:t>
            </w:r>
          </w:p>
        </w:tc>
        <w:tc>
          <w:tcPr>
            <w:tcW w:w="364" w:type="pct"/>
            <w:shd w:val="clear" w:color="auto" w:fill="auto"/>
            <w:noWrap/>
            <w:vAlign w:val="bottom"/>
          </w:tcPr>
          <w:p w14:paraId="3B68070B" w14:textId="77777777" w:rsidR="00E549A3" w:rsidRPr="00312485" w:rsidRDefault="00E549A3" w:rsidP="000E2A7E">
            <w:pPr>
              <w:ind w:firstLine="0"/>
              <w:jc w:val="center"/>
              <w:rPr>
                <w:noProof/>
                <w:sz w:val="16"/>
                <w:szCs w:val="16"/>
                <w:lang w:val="ro-MD"/>
              </w:rPr>
            </w:pPr>
            <w:r w:rsidRPr="00312485">
              <w:rPr>
                <w:noProof/>
                <w:sz w:val="16"/>
                <w:szCs w:val="16"/>
                <w:lang w:val="ro-MD"/>
              </w:rPr>
              <w:t>8 998</w:t>
            </w:r>
          </w:p>
        </w:tc>
        <w:tc>
          <w:tcPr>
            <w:tcW w:w="400" w:type="pct"/>
            <w:shd w:val="clear" w:color="auto" w:fill="auto"/>
            <w:noWrap/>
            <w:vAlign w:val="bottom"/>
          </w:tcPr>
          <w:p w14:paraId="20E2F363" w14:textId="77777777" w:rsidR="00E549A3" w:rsidRPr="00312485" w:rsidRDefault="00E549A3" w:rsidP="000E2A7E">
            <w:pPr>
              <w:ind w:firstLine="0"/>
              <w:jc w:val="center"/>
              <w:rPr>
                <w:noProof/>
                <w:sz w:val="16"/>
                <w:szCs w:val="16"/>
                <w:lang w:val="ro-MD"/>
              </w:rPr>
            </w:pPr>
            <w:r w:rsidRPr="00312485">
              <w:rPr>
                <w:noProof/>
                <w:sz w:val="16"/>
                <w:szCs w:val="16"/>
                <w:lang w:val="ro-MD"/>
              </w:rPr>
              <w:t>8 865</w:t>
            </w:r>
          </w:p>
        </w:tc>
        <w:tc>
          <w:tcPr>
            <w:tcW w:w="364" w:type="pct"/>
            <w:shd w:val="clear" w:color="auto" w:fill="auto"/>
            <w:noWrap/>
            <w:vAlign w:val="bottom"/>
            <w:hideMark/>
          </w:tcPr>
          <w:p w14:paraId="3D9FCDE5" w14:textId="77777777" w:rsidR="00E549A3" w:rsidRPr="00312485" w:rsidRDefault="00E549A3" w:rsidP="000E2A7E">
            <w:pPr>
              <w:ind w:firstLine="0"/>
              <w:jc w:val="center"/>
              <w:rPr>
                <w:noProof/>
                <w:sz w:val="16"/>
                <w:szCs w:val="16"/>
                <w:lang w:val="ro-MD"/>
              </w:rPr>
            </w:pPr>
            <w:r w:rsidRPr="00312485">
              <w:rPr>
                <w:noProof/>
                <w:sz w:val="16"/>
                <w:szCs w:val="16"/>
                <w:lang w:val="ro-MD"/>
              </w:rPr>
              <w:t>1,9</w:t>
            </w:r>
          </w:p>
        </w:tc>
        <w:tc>
          <w:tcPr>
            <w:tcW w:w="396" w:type="pct"/>
            <w:shd w:val="clear" w:color="auto" w:fill="auto"/>
            <w:noWrap/>
            <w:vAlign w:val="bottom"/>
            <w:hideMark/>
          </w:tcPr>
          <w:p w14:paraId="36AA951F" w14:textId="77777777" w:rsidR="00E549A3" w:rsidRPr="00312485" w:rsidRDefault="00E549A3" w:rsidP="000E2A7E">
            <w:pPr>
              <w:ind w:firstLine="0"/>
              <w:jc w:val="center"/>
              <w:rPr>
                <w:noProof/>
                <w:sz w:val="16"/>
                <w:szCs w:val="16"/>
                <w:lang w:val="ro-MD"/>
              </w:rPr>
            </w:pPr>
            <w:r w:rsidRPr="00312485">
              <w:rPr>
                <w:noProof/>
                <w:sz w:val="16"/>
                <w:szCs w:val="16"/>
                <w:lang w:val="ro-MD"/>
              </w:rPr>
              <w:t>1,8</w:t>
            </w:r>
          </w:p>
        </w:tc>
        <w:tc>
          <w:tcPr>
            <w:tcW w:w="362" w:type="pct"/>
            <w:shd w:val="clear" w:color="auto" w:fill="auto"/>
            <w:noWrap/>
            <w:vAlign w:val="bottom"/>
          </w:tcPr>
          <w:p w14:paraId="49279250" w14:textId="77777777" w:rsidR="00E549A3" w:rsidRPr="00312485" w:rsidRDefault="00E549A3" w:rsidP="000E2A7E">
            <w:pPr>
              <w:ind w:firstLine="0"/>
              <w:jc w:val="center"/>
              <w:rPr>
                <w:noProof/>
                <w:sz w:val="16"/>
                <w:szCs w:val="16"/>
                <w:lang w:val="ro-MD"/>
              </w:rPr>
            </w:pPr>
            <w:r w:rsidRPr="00312485">
              <w:rPr>
                <w:noProof/>
                <w:sz w:val="16"/>
                <w:szCs w:val="16"/>
                <w:lang w:val="ro-MD"/>
              </w:rPr>
              <w:t>2,4</w:t>
            </w:r>
          </w:p>
        </w:tc>
        <w:tc>
          <w:tcPr>
            <w:tcW w:w="414" w:type="pct"/>
            <w:shd w:val="clear" w:color="auto" w:fill="auto"/>
            <w:noWrap/>
            <w:vAlign w:val="bottom"/>
          </w:tcPr>
          <w:p w14:paraId="0E24EEEB" w14:textId="77777777" w:rsidR="00E549A3" w:rsidRPr="00312485" w:rsidRDefault="00E549A3" w:rsidP="000E2A7E">
            <w:pPr>
              <w:ind w:firstLine="0"/>
              <w:jc w:val="center"/>
              <w:rPr>
                <w:noProof/>
                <w:sz w:val="16"/>
                <w:szCs w:val="16"/>
                <w:lang w:val="ro-MD"/>
              </w:rPr>
            </w:pPr>
            <w:r w:rsidRPr="00312485">
              <w:rPr>
                <w:noProof/>
                <w:sz w:val="16"/>
                <w:szCs w:val="16"/>
                <w:lang w:val="ro-MD"/>
              </w:rPr>
              <w:t>2,2</w:t>
            </w:r>
          </w:p>
        </w:tc>
      </w:tr>
      <w:tr w:rsidR="00E549A3" w:rsidRPr="00312485" w14:paraId="39E93011" w14:textId="77777777" w:rsidTr="00224E00">
        <w:trPr>
          <w:trHeight w:val="300"/>
        </w:trPr>
        <w:tc>
          <w:tcPr>
            <w:tcW w:w="1689" w:type="pct"/>
            <w:shd w:val="clear" w:color="auto" w:fill="auto"/>
            <w:vAlign w:val="bottom"/>
            <w:hideMark/>
          </w:tcPr>
          <w:p w14:paraId="079C06CD"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Servicii în domeniul economiei</w:t>
            </w:r>
          </w:p>
        </w:tc>
        <w:tc>
          <w:tcPr>
            <w:tcW w:w="572" w:type="pct"/>
            <w:gridSpan w:val="2"/>
            <w:shd w:val="clear" w:color="auto" w:fill="auto"/>
            <w:noWrap/>
            <w:vAlign w:val="bottom"/>
            <w:hideMark/>
          </w:tcPr>
          <w:p w14:paraId="07BDAE08" w14:textId="77777777" w:rsidR="00E549A3" w:rsidRPr="00312485" w:rsidRDefault="00E549A3" w:rsidP="000E2A7E">
            <w:pPr>
              <w:ind w:firstLine="0"/>
              <w:jc w:val="center"/>
              <w:rPr>
                <w:noProof/>
                <w:sz w:val="16"/>
                <w:szCs w:val="16"/>
                <w:lang w:val="ro-MD"/>
              </w:rPr>
            </w:pPr>
            <w:r w:rsidRPr="00312485">
              <w:rPr>
                <w:noProof/>
                <w:sz w:val="16"/>
                <w:szCs w:val="16"/>
                <w:lang w:val="ro-MD"/>
              </w:rPr>
              <w:t>13 067</w:t>
            </w:r>
          </w:p>
        </w:tc>
        <w:tc>
          <w:tcPr>
            <w:tcW w:w="439" w:type="pct"/>
            <w:gridSpan w:val="2"/>
            <w:shd w:val="clear" w:color="auto" w:fill="auto"/>
            <w:noWrap/>
            <w:vAlign w:val="bottom"/>
            <w:hideMark/>
          </w:tcPr>
          <w:p w14:paraId="12CA2E4B" w14:textId="77777777" w:rsidR="00E549A3" w:rsidRPr="00312485" w:rsidRDefault="00E549A3" w:rsidP="000E2A7E">
            <w:pPr>
              <w:ind w:firstLine="0"/>
              <w:jc w:val="center"/>
              <w:rPr>
                <w:noProof/>
                <w:sz w:val="16"/>
                <w:szCs w:val="16"/>
                <w:lang w:val="ro-MD"/>
              </w:rPr>
            </w:pPr>
            <w:r w:rsidRPr="00312485">
              <w:rPr>
                <w:noProof/>
                <w:sz w:val="16"/>
                <w:szCs w:val="16"/>
                <w:lang w:val="ro-MD"/>
              </w:rPr>
              <w:t>12 933</w:t>
            </w:r>
          </w:p>
        </w:tc>
        <w:tc>
          <w:tcPr>
            <w:tcW w:w="364" w:type="pct"/>
            <w:shd w:val="clear" w:color="auto" w:fill="auto"/>
            <w:noWrap/>
            <w:vAlign w:val="bottom"/>
          </w:tcPr>
          <w:p w14:paraId="715EAE5D" w14:textId="77777777" w:rsidR="00E549A3" w:rsidRPr="00312485" w:rsidRDefault="00E549A3" w:rsidP="000E2A7E">
            <w:pPr>
              <w:ind w:firstLine="0"/>
              <w:jc w:val="center"/>
              <w:rPr>
                <w:noProof/>
                <w:sz w:val="16"/>
                <w:szCs w:val="16"/>
                <w:lang w:val="ro-MD"/>
              </w:rPr>
            </w:pPr>
            <w:r w:rsidRPr="00312485">
              <w:rPr>
                <w:noProof/>
                <w:sz w:val="16"/>
                <w:szCs w:val="16"/>
                <w:lang w:val="ro-MD"/>
              </w:rPr>
              <w:t>16 816</w:t>
            </w:r>
          </w:p>
        </w:tc>
        <w:tc>
          <w:tcPr>
            <w:tcW w:w="400" w:type="pct"/>
            <w:shd w:val="clear" w:color="auto" w:fill="auto"/>
            <w:noWrap/>
            <w:vAlign w:val="bottom"/>
          </w:tcPr>
          <w:p w14:paraId="58540BB0" w14:textId="77777777" w:rsidR="00E549A3" w:rsidRPr="00312485" w:rsidRDefault="00E549A3" w:rsidP="000E2A7E">
            <w:pPr>
              <w:ind w:firstLine="0"/>
              <w:jc w:val="center"/>
              <w:rPr>
                <w:noProof/>
                <w:sz w:val="16"/>
                <w:szCs w:val="16"/>
                <w:lang w:val="ro-MD"/>
              </w:rPr>
            </w:pPr>
            <w:r w:rsidRPr="00312485">
              <w:rPr>
                <w:noProof/>
                <w:sz w:val="16"/>
                <w:szCs w:val="16"/>
                <w:lang w:val="ro-MD"/>
              </w:rPr>
              <w:t>20 890</w:t>
            </w:r>
          </w:p>
        </w:tc>
        <w:tc>
          <w:tcPr>
            <w:tcW w:w="364" w:type="pct"/>
            <w:shd w:val="clear" w:color="auto" w:fill="auto"/>
            <w:noWrap/>
            <w:vAlign w:val="bottom"/>
            <w:hideMark/>
          </w:tcPr>
          <w:p w14:paraId="2B5139FA" w14:textId="77777777" w:rsidR="00E549A3" w:rsidRPr="00312485" w:rsidRDefault="00E549A3" w:rsidP="000E2A7E">
            <w:pPr>
              <w:ind w:firstLine="0"/>
              <w:jc w:val="center"/>
              <w:rPr>
                <w:noProof/>
                <w:sz w:val="16"/>
                <w:szCs w:val="16"/>
                <w:lang w:val="ro-MD"/>
              </w:rPr>
            </w:pPr>
            <w:r w:rsidRPr="00312485">
              <w:rPr>
                <w:noProof/>
                <w:sz w:val="16"/>
                <w:szCs w:val="16"/>
                <w:lang w:val="ro-MD"/>
              </w:rPr>
              <w:t>3,3</w:t>
            </w:r>
          </w:p>
        </w:tc>
        <w:tc>
          <w:tcPr>
            <w:tcW w:w="396" w:type="pct"/>
            <w:shd w:val="clear" w:color="auto" w:fill="auto"/>
            <w:noWrap/>
            <w:vAlign w:val="bottom"/>
            <w:hideMark/>
          </w:tcPr>
          <w:p w14:paraId="6629F9E5" w14:textId="77777777" w:rsidR="00E549A3" w:rsidRPr="00312485" w:rsidRDefault="00E549A3" w:rsidP="000E2A7E">
            <w:pPr>
              <w:ind w:firstLine="0"/>
              <w:jc w:val="center"/>
              <w:rPr>
                <w:noProof/>
                <w:sz w:val="16"/>
                <w:szCs w:val="16"/>
                <w:lang w:val="ro-MD"/>
              </w:rPr>
            </w:pPr>
            <w:r w:rsidRPr="00312485">
              <w:rPr>
                <w:noProof/>
                <w:sz w:val="16"/>
                <w:szCs w:val="16"/>
                <w:lang w:val="ro-MD"/>
              </w:rPr>
              <w:t>3,0</w:t>
            </w:r>
          </w:p>
        </w:tc>
        <w:tc>
          <w:tcPr>
            <w:tcW w:w="362" w:type="pct"/>
            <w:shd w:val="clear" w:color="auto" w:fill="auto"/>
            <w:noWrap/>
            <w:vAlign w:val="bottom"/>
          </w:tcPr>
          <w:p w14:paraId="7364AA5E" w14:textId="77777777" w:rsidR="00E549A3" w:rsidRPr="00312485" w:rsidRDefault="00E549A3" w:rsidP="000E2A7E">
            <w:pPr>
              <w:ind w:firstLine="0"/>
              <w:jc w:val="center"/>
              <w:rPr>
                <w:noProof/>
                <w:sz w:val="16"/>
                <w:szCs w:val="16"/>
                <w:lang w:val="ro-MD"/>
              </w:rPr>
            </w:pPr>
            <w:r w:rsidRPr="00312485">
              <w:rPr>
                <w:noProof/>
                <w:sz w:val="16"/>
                <w:szCs w:val="16"/>
                <w:lang w:val="ro-MD"/>
              </w:rPr>
              <w:t>4,4</w:t>
            </w:r>
          </w:p>
        </w:tc>
        <w:tc>
          <w:tcPr>
            <w:tcW w:w="414" w:type="pct"/>
            <w:shd w:val="clear" w:color="auto" w:fill="auto"/>
            <w:noWrap/>
            <w:vAlign w:val="bottom"/>
          </w:tcPr>
          <w:p w14:paraId="77E8D2BA" w14:textId="77777777" w:rsidR="00E549A3" w:rsidRPr="00312485" w:rsidRDefault="00E549A3" w:rsidP="000E2A7E">
            <w:pPr>
              <w:ind w:firstLine="0"/>
              <w:jc w:val="center"/>
              <w:rPr>
                <w:noProof/>
                <w:sz w:val="16"/>
                <w:szCs w:val="16"/>
                <w:lang w:val="ro-MD"/>
              </w:rPr>
            </w:pPr>
            <w:r w:rsidRPr="00312485">
              <w:rPr>
                <w:noProof/>
                <w:sz w:val="16"/>
                <w:szCs w:val="16"/>
                <w:lang w:val="ro-MD"/>
              </w:rPr>
              <w:t>5,1</w:t>
            </w:r>
          </w:p>
        </w:tc>
      </w:tr>
      <w:tr w:rsidR="00E549A3" w:rsidRPr="00312485" w14:paraId="3677C9EE" w14:textId="77777777" w:rsidTr="00224E00">
        <w:trPr>
          <w:trHeight w:val="300"/>
        </w:trPr>
        <w:tc>
          <w:tcPr>
            <w:tcW w:w="1689" w:type="pct"/>
            <w:shd w:val="clear" w:color="auto" w:fill="auto"/>
            <w:vAlign w:val="center"/>
            <w:hideMark/>
          </w:tcPr>
          <w:p w14:paraId="41E5D7D0"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Protecția mediului</w:t>
            </w:r>
          </w:p>
        </w:tc>
        <w:tc>
          <w:tcPr>
            <w:tcW w:w="572" w:type="pct"/>
            <w:gridSpan w:val="2"/>
            <w:shd w:val="clear" w:color="auto" w:fill="auto"/>
            <w:noWrap/>
            <w:vAlign w:val="center"/>
            <w:hideMark/>
          </w:tcPr>
          <w:p w14:paraId="29952606" w14:textId="77777777" w:rsidR="00E549A3" w:rsidRPr="00312485" w:rsidRDefault="00E549A3" w:rsidP="000E2A7E">
            <w:pPr>
              <w:ind w:firstLine="0"/>
              <w:jc w:val="center"/>
              <w:rPr>
                <w:noProof/>
                <w:sz w:val="16"/>
                <w:szCs w:val="16"/>
                <w:lang w:val="ro-MD"/>
              </w:rPr>
            </w:pPr>
            <w:r w:rsidRPr="00312485">
              <w:rPr>
                <w:noProof/>
                <w:sz w:val="16"/>
                <w:szCs w:val="16"/>
                <w:lang w:val="ro-MD"/>
              </w:rPr>
              <w:t>937</w:t>
            </w:r>
          </w:p>
        </w:tc>
        <w:tc>
          <w:tcPr>
            <w:tcW w:w="439" w:type="pct"/>
            <w:gridSpan w:val="2"/>
            <w:shd w:val="clear" w:color="auto" w:fill="auto"/>
            <w:noWrap/>
            <w:vAlign w:val="center"/>
            <w:hideMark/>
          </w:tcPr>
          <w:p w14:paraId="59E07764" w14:textId="77777777" w:rsidR="00E549A3" w:rsidRPr="00312485" w:rsidRDefault="00E549A3" w:rsidP="000E2A7E">
            <w:pPr>
              <w:ind w:firstLine="0"/>
              <w:jc w:val="center"/>
              <w:rPr>
                <w:noProof/>
                <w:sz w:val="16"/>
                <w:szCs w:val="16"/>
                <w:lang w:val="ro-MD"/>
              </w:rPr>
            </w:pPr>
            <w:r w:rsidRPr="00312485">
              <w:rPr>
                <w:noProof/>
                <w:sz w:val="16"/>
                <w:szCs w:val="16"/>
                <w:lang w:val="ro-MD"/>
              </w:rPr>
              <w:t>1 053</w:t>
            </w:r>
          </w:p>
        </w:tc>
        <w:tc>
          <w:tcPr>
            <w:tcW w:w="364" w:type="pct"/>
            <w:shd w:val="clear" w:color="auto" w:fill="auto"/>
            <w:noWrap/>
            <w:vAlign w:val="center"/>
          </w:tcPr>
          <w:p w14:paraId="13510E8C" w14:textId="77777777" w:rsidR="00E549A3" w:rsidRPr="00312485" w:rsidRDefault="00E549A3" w:rsidP="000E2A7E">
            <w:pPr>
              <w:ind w:firstLine="0"/>
              <w:jc w:val="center"/>
              <w:rPr>
                <w:noProof/>
                <w:sz w:val="16"/>
                <w:szCs w:val="16"/>
                <w:lang w:val="ro-MD"/>
              </w:rPr>
            </w:pPr>
            <w:r w:rsidRPr="00312485">
              <w:rPr>
                <w:noProof/>
                <w:sz w:val="16"/>
                <w:szCs w:val="16"/>
                <w:lang w:val="ro-MD"/>
              </w:rPr>
              <w:t>1 129</w:t>
            </w:r>
          </w:p>
        </w:tc>
        <w:tc>
          <w:tcPr>
            <w:tcW w:w="400" w:type="pct"/>
            <w:shd w:val="clear" w:color="auto" w:fill="auto"/>
            <w:noWrap/>
            <w:vAlign w:val="center"/>
          </w:tcPr>
          <w:p w14:paraId="27A7D4D2" w14:textId="77777777" w:rsidR="00E549A3" w:rsidRPr="00312485" w:rsidRDefault="00E549A3" w:rsidP="000E2A7E">
            <w:pPr>
              <w:ind w:firstLine="0"/>
              <w:jc w:val="center"/>
              <w:rPr>
                <w:noProof/>
                <w:sz w:val="16"/>
                <w:szCs w:val="16"/>
                <w:lang w:val="ro-MD"/>
              </w:rPr>
            </w:pPr>
            <w:r w:rsidRPr="00312485">
              <w:rPr>
                <w:noProof/>
                <w:sz w:val="16"/>
                <w:szCs w:val="16"/>
                <w:lang w:val="ro-MD"/>
              </w:rPr>
              <w:t>1 285</w:t>
            </w:r>
          </w:p>
        </w:tc>
        <w:tc>
          <w:tcPr>
            <w:tcW w:w="364" w:type="pct"/>
            <w:shd w:val="clear" w:color="auto" w:fill="auto"/>
            <w:noWrap/>
            <w:vAlign w:val="bottom"/>
            <w:hideMark/>
          </w:tcPr>
          <w:p w14:paraId="6C9C4C76" w14:textId="77777777" w:rsidR="00E549A3" w:rsidRPr="00312485" w:rsidRDefault="00E549A3" w:rsidP="000E2A7E">
            <w:pPr>
              <w:ind w:firstLine="0"/>
              <w:jc w:val="center"/>
              <w:rPr>
                <w:noProof/>
                <w:sz w:val="16"/>
                <w:szCs w:val="16"/>
                <w:lang w:val="ro-MD"/>
              </w:rPr>
            </w:pPr>
            <w:r w:rsidRPr="00312485">
              <w:rPr>
                <w:noProof/>
                <w:sz w:val="16"/>
                <w:szCs w:val="16"/>
                <w:lang w:val="ro-MD"/>
              </w:rPr>
              <w:t>0,2</w:t>
            </w:r>
          </w:p>
        </w:tc>
        <w:tc>
          <w:tcPr>
            <w:tcW w:w="396" w:type="pct"/>
            <w:shd w:val="clear" w:color="auto" w:fill="auto"/>
            <w:noWrap/>
            <w:vAlign w:val="bottom"/>
            <w:hideMark/>
          </w:tcPr>
          <w:p w14:paraId="432E3258" w14:textId="77777777" w:rsidR="00E549A3" w:rsidRPr="00312485" w:rsidRDefault="00E549A3" w:rsidP="000E2A7E">
            <w:pPr>
              <w:ind w:firstLine="0"/>
              <w:jc w:val="center"/>
              <w:rPr>
                <w:noProof/>
                <w:sz w:val="16"/>
                <w:szCs w:val="16"/>
                <w:lang w:val="ro-MD"/>
              </w:rPr>
            </w:pPr>
            <w:r w:rsidRPr="00312485">
              <w:rPr>
                <w:noProof/>
                <w:sz w:val="16"/>
                <w:szCs w:val="16"/>
                <w:lang w:val="ro-MD"/>
              </w:rPr>
              <w:t>0,2</w:t>
            </w:r>
          </w:p>
        </w:tc>
        <w:tc>
          <w:tcPr>
            <w:tcW w:w="362" w:type="pct"/>
            <w:shd w:val="clear" w:color="auto" w:fill="auto"/>
            <w:noWrap/>
            <w:vAlign w:val="bottom"/>
          </w:tcPr>
          <w:p w14:paraId="5E4E2DF6" w14:textId="77777777" w:rsidR="00E549A3" w:rsidRPr="00312485" w:rsidRDefault="00E549A3" w:rsidP="000E2A7E">
            <w:pPr>
              <w:ind w:firstLine="0"/>
              <w:jc w:val="center"/>
              <w:rPr>
                <w:noProof/>
                <w:sz w:val="16"/>
                <w:szCs w:val="16"/>
                <w:lang w:val="ro-MD"/>
              </w:rPr>
            </w:pPr>
            <w:r w:rsidRPr="00312485">
              <w:rPr>
                <w:noProof/>
                <w:sz w:val="16"/>
                <w:szCs w:val="16"/>
                <w:lang w:val="ro-MD"/>
              </w:rPr>
              <w:t>0,3</w:t>
            </w:r>
          </w:p>
        </w:tc>
        <w:tc>
          <w:tcPr>
            <w:tcW w:w="414" w:type="pct"/>
            <w:shd w:val="clear" w:color="auto" w:fill="auto"/>
            <w:noWrap/>
            <w:vAlign w:val="bottom"/>
          </w:tcPr>
          <w:p w14:paraId="784627F5" w14:textId="77777777" w:rsidR="00E549A3" w:rsidRPr="00312485" w:rsidRDefault="00E549A3" w:rsidP="000E2A7E">
            <w:pPr>
              <w:ind w:firstLine="0"/>
              <w:jc w:val="center"/>
              <w:rPr>
                <w:noProof/>
                <w:sz w:val="16"/>
                <w:szCs w:val="16"/>
                <w:lang w:val="ro-MD"/>
              </w:rPr>
            </w:pPr>
            <w:r w:rsidRPr="00312485">
              <w:rPr>
                <w:noProof/>
                <w:sz w:val="16"/>
                <w:szCs w:val="16"/>
                <w:lang w:val="ro-MD"/>
              </w:rPr>
              <w:t>0,3</w:t>
            </w:r>
          </w:p>
        </w:tc>
      </w:tr>
      <w:tr w:rsidR="00E549A3" w:rsidRPr="00312485" w14:paraId="3F772877" w14:textId="77777777" w:rsidTr="00224E00">
        <w:trPr>
          <w:trHeight w:val="510"/>
        </w:trPr>
        <w:tc>
          <w:tcPr>
            <w:tcW w:w="1689" w:type="pct"/>
            <w:shd w:val="clear" w:color="auto" w:fill="auto"/>
            <w:vAlign w:val="bottom"/>
            <w:hideMark/>
          </w:tcPr>
          <w:p w14:paraId="2C8A86E7"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Gospodăria de locuințe și gospodăria serviciilor comunale</w:t>
            </w:r>
          </w:p>
        </w:tc>
        <w:tc>
          <w:tcPr>
            <w:tcW w:w="572" w:type="pct"/>
            <w:gridSpan w:val="2"/>
            <w:shd w:val="clear" w:color="auto" w:fill="auto"/>
            <w:noWrap/>
            <w:vAlign w:val="bottom"/>
            <w:hideMark/>
          </w:tcPr>
          <w:p w14:paraId="596624C8" w14:textId="77777777" w:rsidR="00E549A3" w:rsidRPr="00312485" w:rsidRDefault="00E549A3" w:rsidP="000E2A7E">
            <w:pPr>
              <w:ind w:firstLine="0"/>
              <w:jc w:val="center"/>
              <w:rPr>
                <w:noProof/>
                <w:sz w:val="16"/>
                <w:szCs w:val="16"/>
                <w:lang w:val="ro-MD"/>
              </w:rPr>
            </w:pPr>
            <w:r w:rsidRPr="00312485">
              <w:rPr>
                <w:noProof/>
                <w:sz w:val="16"/>
                <w:szCs w:val="16"/>
                <w:lang w:val="ro-MD"/>
              </w:rPr>
              <w:t>3 854</w:t>
            </w:r>
          </w:p>
        </w:tc>
        <w:tc>
          <w:tcPr>
            <w:tcW w:w="439" w:type="pct"/>
            <w:gridSpan w:val="2"/>
            <w:shd w:val="clear" w:color="auto" w:fill="auto"/>
            <w:noWrap/>
            <w:vAlign w:val="bottom"/>
            <w:hideMark/>
          </w:tcPr>
          <w:p w14:paraId="3E9DF6D4" w14:textId="77777777" w:rsidR="00E549A3" w:rsidRPr="00312485" w:rsidRDefault="00E549A3" w:rsidP="000E2A7E">
            <w:pPr>
              <w:ind w:firstLine="0"/>
              <w:jc w:val="center"/>
              <w:rPr>
                <w:noProof/>
                <w:sz w:val="16"/>
                <w:szCs w:val="16"/>
                <w:lang w:val="ro-MD"/>
              </w:rPr>
            </w:pPr>
            <w:r w:rsidRPr="00312485">
              <w:rPr>
                <w:noProof/>
                <w:sz w:val="16"/>
                <w:szCs w:val="16"/>
                <w:lang w:val="ro-MD"/>
              </w:rPr>
              <w:t>4 039</w:t>
            </w:r>
          </w:p>
        </w:tc>
        <w:tc>
          <w:tcPr>
            <w:tcW w:w="364" w:type="pct"/>
            <w:shd w:val="clear" w:color="auto" w:fill="auto"/>
            <w:noWrap/>
            <w:vAlign w:val="bottom"/>
          </w:tcPr>
          <w:p w14:paraId="4D130B9D" w14:textId="77777777" w:rsidR="00E549A3" w:rsidRPr="00312485" w:rsidRDefault="00E549A3" w:rsidP="000E2A7E">
            <w:pPr>
              <w:ind w:firstLine="0"/>
              <w:jc w:val="center"/>
              <w:rPr>
                <w:noProof/>
                <w:sz w:val="16"/>
                <w:szCs w:val="16"/>
                <w:lang w:val="ro-MD"/>
              </w:rPr>
            </w:pPr>
            <w:r w:rsidRPr="00312485">
              <w:rPr>
                <w:noProof/>
                <w:sz w:val="16"/>
                <w:szCs w:val="16"/>
                <w:lang w:val="ro-MD"/>
              </w:rPr>
              <w:t>5 186</w:t>
            </w:r>
          </w:p>
        </w:tc>
        <w:tc>
          <w:tcPr>
            <w:tcW w:w="400" w:type="pct"/>
            <w:shd w:val="clear" w:color="auto" w:fill="auto"/>
            <w:noWrap/>
            <w:vAlign w:val="bottom"/>
          </w:tcPr>
          <w:p w14:paraId="6EB175C0" w14:textId="77777777" w:rsidR="00E549A3" w:rsidRPr="00312485" w:rsidRDefault="00E549A3" w:rsidP="000E2A7E">
            <w:pPr>
              <w:ind w:firstLine="0"/>
              <w:jc w:val="center"/>
              <w:rPr>
                <w:noProof/>
                <w:sz w:val="16"/>
                <w:szCs w:val="16"/>
                <w:lang w:val="ro-MD"/>
              </w:rPr>
            </w:pPr>
            <w:r w:rsidRPr="00312485">
              <w:rPr>
                <w:noProof/>
                <w:sz w:val="16"/>
                <w:szCs w:val="16"/>
                <w:lang w:val="ro-MD"/>
              </w:rPr>
              <w:t>5 033</w:t>
            </w:r>
          </w:p>
        </w:tc>
        <w:tc>
          <w:tcPr>
            <w:tcW w:w="364" w:type="pct"/>
            <w:shd w:val="clear" w:color="auto" w:fill="auto"/>
            <w:noWrap/>
            <w:vAlign w:val="bottom"/>
            <w:hideMark/>
          </w:tcPr>
          <w:p w14:paraId="28FF4049" w14:textId="77777777" w:rsidR="00E549A3" w:rsidRPr="00312485" w:rsidRDefault="00E549A3" w:rsidP="000E2A7E">
            <w:pPr>
              <w:ind w:firstLine="0"/>
              <w:jc w:val="center"/>
              <w:rPr>
                <w:noProof/>
                <w:sz w:val="16"/>
                <w:szCs w:val="16"/>
                <w:lang w:val="ro-MD"/>
              </w:rPr>
            </w:pPr>
            <w:r w:rsidRPr="00312485">
              <w:rPr>
                <w:noProof/>
                <w:sz w:val="16"/>
                <w:szCs w:val="16"/>
                <w:lang w:val="ro-MD"/>
              </w:rPr>
              <w:t>1,0</w:t>
            </w:r>
          </w:p>
        </w:tc>
        <w:tc>
          <w:tcPr>
            <w:tcW w:w="396" w:type="pct"/>
            <w:shd w:val="clear" w:color="auto" w:fill="auto"/>
            <w:noWrap/>
            <w:vAlign w:val="bottom"/>
            <w:hideMark/>
          </w:tcPr>
          <w:p w14:paraId="6351FBF8" w14:textId="77777777" w:rsidR="00E549A3" w:rsidRPr="00312485" w:rsidRDefault="00E549A3" w:rsidP="000E2A7E">
            <w:pPr>
              <w:ind w:firstLine="0"/>
              <w:jc w:val="center"/>
              <w:rPr>
                <w:noProof/>
                <w:sz w:val="16"/>
                <w:szCs w:val="16"/>
                <w:lang w:val="ro-MD"/>
              </w:rPr>
            </w:pPr>
            <w:r w:rsidRPr="00312485">
              <w:rPr>
                <w:noProof/>
                <w:sz w:val="16"/>
                <w:szCs w:val="16"/>
                <w:lang w:val="ro-MD"/>
              </w:rPr>
              <w:t>0,9</w:t>
            </w:r>
          </w:p>
        </w:tc>
        <w:tc>
          <w:tcPr>
            <w:tcW w:w="362" w:type="pct"/>
            <w:shd w:val="clear" w:color="auto" w:fill="auto"/>
            <w:noWrap/>
            <w:vAlign w:val="bottom"/>
          </w:tcPr>
          <w:p w14:paraId="5B3C55EC" w14:textId="77777777" w:rsidR="00E549A3" w:rsidRPr="00312485" w:rsidRDefault="00E549A3" w:rsidP="000E2A7E">
            <w:pPr>
              <w:ind w:firstLine="0"/>
              <w:jc w:val="center"/>
              <w:rPr>
                <w:noProof/>
                <w:sz w:val="16"/>
                <w:szCs w:val="16"/>
                <w:lang w:val="ro-MD"/>
              </w:rPr>
            </w:pPr>
            <w:r w:rsidRPr="00312485">
              <w:rPr>
                <w:noProof/>
                <w:sz w:val="16"/>
                <w:szCs w:val="16"/>
                <w:lang w:val="ro-MD"/>
              </w:rPr>
              <w:t>1,4</w:t>
            </w:r>
          </w:p>
        </w:tc>
        <w:tc>
          <w:tcPr>
            <w:tcW w:w="414" w:type="pct"/>
            <w:shd w:val="clear" w:color="auto" w:fill="auto"/>
            <w:noWrap/>
            <w:vAlign w:val="bottom"/>
          </w:tcPr>
          <w:p w14:paraId="34B9301A" w14:textId="77777777" w:rsidR="00E549A3" w:rsidRPr="00312485" w:rsidRDefault="00E549A3" w:rsidP="000E2A7E">
            <w:pPr>
              <w:ind w:firstLine="0"/>
              <w:jc w:val="center"/>
              <w:rPr>
                <w:noProof/>
                <w:sz w:val="16"/>
                <w:szCs w:val="16"/>
                <w:lang w:val="ro-MD"/>
              </w:rPr>
            </w:pPr>
            <w:r w:rsidRPr="00312485">
              <w:rPr>
                <w:noProof/>
                <w:sz w:val="16"/>
                <w:szCs w:val="16"/>
                <w:lang w:val="ro-MD"/>
              </w:rPr>
              <w:t>1,2</w:t>
            </w:r>
          </w:p>
        </w:tc>
      </w:tr>
      <w:tr w:rsidR="00E549A3" w:rsidRPr="00312485" w14:paraId="60230E88" w14:textId="77777777" w:rsidTr="00224E00">
        <w:trPr>
          <w:trHeight w:val="300"/>
        </w:trPr>
        <w:tc>
          <w:tcPr>
            <w:tcW w:w="1689" w:type="pct"/>
            <w:shd w:val="clear" w:color="auto" w:fill="auto"/>
            <w:vAlign w:val="bottom"/>
            <w:hideMark/>
          </w:tcPr>
          <w:p w14:paraId="595840F5"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Ocrotirea sănătății</w:t>
            </w:r>
          </w:p>
        </w:tc>
        <w:tc>
          <w:tcPr>
            <w:tcW w:w="572" w:type="pct"/>
            <w:gridSpan w:val="2"/>
            <w:shd w:val="clear" w:color="auto" w:fill="auto"/>
            <w:noWrap/>
            <w:vAlign w:val="bottom"/>
            <w:hideMark/>
          </w:tcPr>
          <w:p w14:paraId="29C0EE24" w14:textId="77777777" w:rsidR="00E549A3" w:rsidRPr="00312485" w:rsidRDefault="00E549A3" w:rsidP="000E2A7E">
            <w:pPr>
              <w:ind w:firstLine="0"/>
              <w:jc w:val="center"/>
              <w:rPr>
                <w:noProof/>
                <w:sz w:val="16"/>
                <w:szCs w:val="16"/>
                <w:lang w:val="ro-MD"/>
              </w:rPr>
            </w:pPr>
            <w:r w:rsidRPr="00312485">
              <w:rPr>
                <w:noProof/>
                <w:sz w:val="16"/>
                <w:szCs w:val="16"/>
                <w:lang w:val="ro-MD"/>
              </w:rPr>
              <w:t>20 372</w:t>
            </w:r>
          </w:p>
        </w:tc>
        <w:tc>
          <w:tcPr>
            <w:tcW w:w="439" w:type="pct"/>
            <w:gridSpan w:val="2"/>
            <w:shd w:val="clear" w:color="auto" w:fill="auto"/>
            <w:noWrap/>
            <w:vAlign w:val="bottom"/>
            <w:hideMark/>
          </w:tcPr>
          <w:p w14:paraId="697CAD92" w14:textId="77777777" w:rsidR="00E549A3" w:rsidRPr="00312485" w:rsidRDefault="00E549A3" w:rsidP="000E2A7E">
            <w:pPr>
              <w:ind w:firstLine="0"/>
              <w:jc w:val="center"/>
              <w:rPr>
                <w:noProof/>
                <w:sz w:val="16"/>
                <w:szCs w:val="16"/>
                <w:lang w:val="ro-MD"/>
              </w:rPr>
            </w:pPr>
            <w:r w:rsidRPr="00312485">
              <w:rPr>
                <w:noProof/>
                <w:sz w:val="16"/>
                <w:szCs w:val="16"/>
                <w:lang w:val="ro-MD"/>
              </w:rPr>
              <w:t>21 637</w:t>
            </w:r>
          </w:p>
        </w:tc>
        <w:tc>
          <w:tcPr>
            <w:tcW w:w="364" w:type="pct"/>
            <w:shd w:val="clear" w:color="auto" w:fill="auto"/>
            <w:noWrap/>
            <w:vAlign w:val="bottom"/>
          </w:tcPr>
          <w:p w14:paraId="6F1BB9B7" w14:textId="77777777" w:rsidR="00E549A3" w:rsidRPr="00312485" w:rsidRDefault="00E549A3" w:rsidP="000E2A7E">
            <w:pPr>
              <w:ind w:firstLine="0"/>
              <w:jc w:val="center"/>
              <w:rPr>
                <w:noProof/>
                <w:sz w:val="16"/>
                <w:szCs w:val="16"/>
                <w:lang w:val="ro-MD"/>
              </w:rPr>
            </w:pPr>
            <w:r w:rsidRPr="00312485">
              <w:rPr>
                <w:noProof/>
                <w:sz w:val="16"/>
                <w:szCs w:val="16"/>
                <w:lang w:val="ro-MD"/>
              </w:rPr>
              <w:t>21 511</w:t>
            </w:r>
          </w:p>
        </w:tc>
        <w:tc>
          <w:tcPr>
            <w:tcW w:w="400" w:type="pct"/>
            <w:shd w:val="clear" w:color="auto" w:fill="auto"/>
            <w:noWrap/>
            <w:vAlign w:val="bottom"/>
          </w:tcPr>
          <w:p w14:paraId="15B08F1A" w14:textId="77777777" w:rsidR="00E549A3" w:rsidRPr="00312485" w:rsidRDefault="00E549A3" w:rsidP="000E2A7E">
            <w:pPr>
              <w:ind w:firstLine="0"/>
              <w:jc w:val="center"/>
              <w:rPr>
                <w:noProof/>
                <w:sz w:val="16"/>
                <w:szCs w:val="16"/>
                <w:lang w:val="ro-MD"/>
              </w:rPr>
            </w:pPr>
            <w:r w:rsidRPr="00312485">
              <w:rPr>
                <w:noProof/>
                <w:sz w:val="16"/>
                <w:szCs w:val="16"/>
                <w:lang w:val="ro-MD"/>
              </w:rPr>
              <w:t>23 544</w:t>
            </w:r>
          </w:p>
        </w:tc>
        <w:tc>
          <w:tcPr>
            <w:tcW w:w="364" w:type="pct"/>
            <w:shd w:val="clear" w:color="auto" w:fill="auto"/>
            <w:noWrap/>
            <w:vAlign w:val="bottom"/>
            <w:hideMark/>
          </w:tcPr>
          <w:p w14:paraId="316EA865" w14:textId="77777777" w:rsidR="00E549A3" w:rsidRPr="00312485" w:rsidRDefault="00E549A3" w:rsidP="000E2A7E">
            <w:pPr>
              <w:ind w:firstLine="0"/>
              <w:jc w:val="center"/>
              <w:rPr>
                <w:noProof/>
                <w:sz w:val="16"/>
                <w:szCs w:val="16"/>
                <w:lang w:val="ro-MD"/>
              </w:rPr>
            </w:pPr>
            <w:r w:rsidRPr="00312485">
              <w:rPr>
                <w:noProof/>
                <w:sz w:val="16"/>
                <w:szCs w:val="16"/>
                <w:lang w:val="ro-MD"/>
              </w:rPr>
              <w:t>5,2</w:t>
            </w:r>
          </w:p>
        </w:tc>
        <w:tc>
          <w:tcPr>
            <w:tcW w:w="396" w:type="pct"/>
            <w:shd w:val="clear" w:color="auto" w:fill="auto"/>
            <w:noWrap/>
            <w:vAlign w:val="bottom"/>
            <w:hideMark/>
          </w:tcPr>
          <w:p w14:paraId="7D3EFD42" w14:textId="77777777" w:rsidR="00E549A3" w:rsidRPr="00312485" w:rsidRDefault="00E549A3" w:rsidP="000E2A7E">
            <w:pPr>
              <w:ind w:firstLine="0"/>
              <w:jc w:val="center"/>
              <w:rPr>
                <w:noProof/>
                <w:sz w:val="16"/>
                <w:szCs w:val="16"/>
                <w:lang w:val="ro-MD"/>
              </w:rPr>
            </w:pPr>
            <w:r w:rsidRPr="00312485">
              <w:rPr>
                <w:noProof/>
                <w:sz w:val="16"/>
                <w:szCs w:val="16"/>
                <w:lang w:val="ro-MD"/>
              </w:rPr>
              <w:t>5,0</w:t>
            </w:r>
          </w:p>
        </w:tc>
        <w:tc>
          <w:tcPr>
            <w:tcW w:w="362" w:type="pct"/>
            <w:shd w:val="clear" w:color="auto" w:fill="auto"/>
            <w:noWrap/>
            <w:vAlign w:val="bottom"/>
          </w:tcPr>
          <w:p w14:paraId="7486D39F" w14:textId="77777777" w:rsidR="00E549A3" w:rsidRPr="00312485" w:rsidRDefault="00E549A3" w:rsidP="000E2A7E">
            <w:pPr>
              <w:ind w:firstLine="0"/>
              <w:jc w:val="center"/>
              <w:rPr>
                <w:noProof/>
                <w:sz w:val="16"/>
                <w:szCs w:val="16"/>
                <w:lang w:val="ro-MD"/>
              </w:rPr>
            </w:pPr>
            <w:r w:rsidRPr="00312485">
              <w:rPr>
                <w:noProof/>
                <w:sz w:val="16"/>
                <w:szCs w:val="16"/>
                <w:lang w:val="ro-MD"/>
              </w:rPr>
              <w:t>5,7</w:t>
            </w:r>
          </w:p>
        </w:tc>
        <w:tc>
          <w:tcPr>
            <w:tcW w:w="414" w:type="pct"/>
            <w:shd w:val="clear" w:color="auto" w:fill="auto"/>
            <w:noWrap/>
            <w:vAlign w:val="bottom"/>
          </w:tcPr>
          <w:p w14:paraId="73716455" w14:textId="77777777" w:rsidR="00E549A3" w:rsidRPr="00312485" w:rsidRDefault="00E549A3" w:rsidP="000E2A7E">
            <w:pPr>
              <w:ind w:firstLine="0"/>
              <w:jc w:val="center"/>
              <w:rPr>
                <w:noProof/>
                <w:sz w:val="16"/>
                <w:szCs w:val="16"/>
                <w:lang w:val="ro-MD"/>
              </w:rPr>
            </w:pPr>
            <w:r w:rsidRPr="00312485">
              <w:rPr>
                <w:noProof/>
                <w:sz w:val="16"/>
                <w:szCs w:val="16"/>
                <w:lang w:val="ro-MD"/>
              </w:rPr>
              <w:t>5,7</w:t>
            </w:r>
          </w:p>
        </w:tc>
      </w:tr>
      <w:tr w:rsidR="00E549A3" w:rsidRPr="00312485" w14:paraId="34AB5D5D" w14:textId="77777777" w:rsidTr="00224E00">
        <w:trPr>
          <w:trHeight w:val="300"/>
        </w:trPr>
        <w:tc>
          <w:tcPr>
            <w:tcW w:w="1689" w:type="pct"/>
            <w:shd w:val="clear" w:color="auto" w:fill="auto"/>
            <w:vAlign w:val="bottom"/>
            <w:hideMark/>
          </w:tcPr>
          <w:p w14:paraId="3BF168C6"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lastRenderedPageBreak/>
              <w:t>Cultură, sport, tineret, culte și odihnă</w:t>
            </w:r>
          </w:p>
        </w:tc>
        <w:tc>
          <w:tcPr>
            <w:tcW w:w="572" w:type="pct"/>
            <w:gridSpan w:val="2"/>
            <w:shd w:val="clear" w:color="auto" w:fill="auto"/>
            <w:noWrap/>
            <w:vAlign w:val="bottom"/>
            <w:hideMark/>
          </w:tcPr>
          <w:p w14:paraId="374D46F3" w14:textId="77777777" w:rsidR="00E549A3" w:rsidRPr="00312485" w:rsidRDefault="00E549A3" w:rsidP="000E2A7E">
            <w:pPr>
              <w:ind w:firstLine="0"/>
              <w:jc w:val="center"/>
              <w:rPr>
                <w:noProof/>
                <w:sz w:val="16"/>
                <w:szCs w:val="16"/>
                <w:lang w:val="ro-MD"/>
              </w:rPr>
            </w:pPr>
            <w:r w:rsidRPr="00312485">
              <w:rPr>
                <w:noProof/>
                <w:sz w:val="16"/>
                <w:szCs w:val="16"/>
                <w:lang w:val="ro-MD"/>
              </w:rPr>
              <w:t>2 772</w:t>
            </w:r>
          </w:p>
        </w:tc>
        <w:tc>
          <w:tcPr>
            <w:tcW w:w="439" w:type="pct"/>
            <w:gridSpan w:val="2"/>
            <w:shd w:val="clear" w:color="auto" w:fill="auto"/>
            <w:noWrap/>
            <w:vAlign w:val="bottom"/>
            <w:hideMark/>
          </w:tcPr>
          <w:p w14:paraId="2AA7BC02" w14:textId="77777777" w:rsidR="00E549A3" w:rsidRPr="00312485" w:rsidRDefault="00E549A3" w:rsidP="000E2A7E">
            <w:pPr>
              <w:ind w:firstLine="0"/>
              <w:jc w:val="center"/>
              <w:rPr>
                <w:noProof/>
                <w:sz w:val="16"/>
                <w:szCs w:val="16"/>
                <w:lang w:val="ro-MD"/>
              </w:rPr>
            </w:pPr>
            <w:r w:rsidRPr="00312485">
              <w:rPr>
                <w:noProof/>
                <w:sz w:val="16"/>
                <w:szCs w:val="16"/>
                <w:lang w:val="ro-MD"/>
              </w:rPr>
              <w:t>2 782</w:t>
            </w:r>
          </w:p>
        </w:tc>
        <w:tc>
          <w:tcPr>
            <w:tcW w:w="364" w:type="pct"/>
            <w:shd w:val="clear" w:color="auto" w:fill="auto"/>
            <w:noWrap/>
            <w:vAlign w:val="bottom"/>
          </w:tcPr>
          <w:p w14:paraId="7FE4697F" w14:textId="77777777" w:rsidR="00E549A3" w:rsidRPr="00312485" w:rsidRDefault="00E549A3" w:rsidP="000E2A7E">
            <w:pPr>
              <w:ind w:firstLine="0"/>
              <w:jc w:val="center"/>
              <w:rPr>
                <w:noProof/>
                <w:sz w:val="16"/>
                <w:szCs w:val="16"/>
                <w:lang w:val="ro-MD"/>
              </w:rPr>
            </w:pPr>
            <w:r w:rsidRPr="00312485">
              <w:rPr>
                <w:noProof/>
                <w:sz w:val="16"/>
                <w:szCs w:val="16"/>
                <w:lang w:val="ro-MD"/>
              </w:rPr>
              <w:t>3 622</w:t>
            </w:r>
          </w:p>
        </w:tc>
        <w:tc>
          <w:tcPr>
            <w:tcW w:w="400" w:type="pct"/>
            <w:shd w:val="clear" w:color="auto" w:fill="auto"/>
            <w:noWrap/>
            <w:vAlign w:val="bottom"/>
          </w:tcPr>
          <w:p w14:paraId="78B025FE" w14:textId="77777777" w:rsidR="00E549A3" w:rsidRPr="00312485" w:rsidRDefault="00E549A3" w:rsidP="000E2A7E">
            <w:pPr>
              <w:ind w:firstLine="0"/>
              <w:jc w:val="center"/>
              <w:rPr>
                <w:noProof/>
                <w:sz w:val="16"/>
                <w:szCs w:val="16"/>
                <w:lang w:val="ro-MD"/>
              </w:rPr>
            </w:pPr>
            <w:r w:rsidRPr="00312485">
              <w:rPr>
                <w:noProof/>
                <w:sz w:val="16"/>
                <w:szCs w:val="16"/>
                <w:lang w:val="ro-MD"/>
              </w:rPr>
              <w:t>3 659</w:t>
            </w:r>
          </w:p>
        </w:tc>
        <w:tc>
          <w:tcPr>
            <w:tcW w:w="364" w:type="pct"/>
            <w:shd w:val="clear" w:color="auto" w:fill="auto"/>
            <w:noWrap/>
            <w:vAlign w:val="bottom"/>
            <w:hideMark/>
          </w:tcPr>
          <w:p w14:paraId="18AE8107" w14:textId="77777777" w:rsidR="00E549A3" w:rsidRPr="00312485" w:rsidRDefault="00E549A3" w:rsidP="000E2A7E">
            <w:pPr>
              <w:ind w:firstLine="0"/>
              <w:jc w:val="center"/>
              <w:rPr>
                <w:noProof/>
                <w:sz w:val="16"/>
                <w:szCs w:val="16"/>
                <w:lang w:val="ro-MD"/>
              </w:rPr>
            </w:pPr>
            <w:r w:rsidRPr="00312485">
              <w:rPr>
                <w:noProof/>
                <w:sz w:val="16"/>
                <w:szCs w:val="16"/>
                <w:lang w:val="ro-MD"/>
              </w:rPr>
              <w:t>0,7</w:t>
            </w:r>
          </w:p>
        </w:tc>
        <w:tc>
          <w:tcPr>
            <w:tcW w:w="396" w:type="pct"/>
            <w:shd w:val="clear" w:color="auto" w:fill="auto"/>
            <w:noWrap/>
            <w:vAlign w:val="bottom"/>
            <w:hideMark/>
          </w:tcPr>
          <w:p w14:paraId="7998B7D7" w14:textId="77777777" w:rsidR="00E549A3" w:rsidRPr="00312485" w:rsidRDefault="00E549A3" w:rsidP="000E2A7E">
            <w:pPr>
              <w:ind w:firstLine="0"/>
              <w:jc w:val="center"/>
              <w:rPr>
                <w:noProof/>
                <w:sz w:val="16"/>
                <w:szCs w:val="16"/>
                <w:lang w:val="ro-MD"/>
              </w:rPr>
            </w:pPr>
            <w:r w:rsidRPr="00312485">
              <w:rPr>
                <w:noProof/>
                <w:sz w:val="16"/>
                <w:szCs w:val="16"/>
                <w:lang w:val="ro-MD"/>
              </w:rPr>
              <w:t>0,6</w:t>
            </w:r>
          </w:p>
        </w:tc>
        <w:tc>
          <w:tcPr>
            <w:tcW w:w="362" w:type="pct"/>
            <w:shd w:val="clear" w:color="auto" w:fill="auto"/>
            <w:noWrap/>
            <w:vAlign w:val="bottom"/>
          </w:tcPr>
          <w:p w14:paraId="72D1AC30" w14:textId="77777777" w:rsidR="00E549A3" w:rsidRPr="00312485" w:rsidRDefault="00E549A3" w:rsidP="000E2A7E">
            <w:pPr>
              <w:ind w:firstLine="0"/>
              <w:jc w:val="center"/>
              <w:rPr>
                <w:noProof/>
                <w:sz w:val="16"/>
                <w:szCs w:val="16"/>
                <w:lang w:val="ro-MD"/>
              </w:rPr>
            </w:pPr>
            <w:r w:rsidRPr="00312485">
              <w:rPr>
                <w:noProof/>
                <w:sz w:val="16"/>
                <w:szCs w:val="16"/>
                <w:lang w:val="ro-MD"/>
              </w:rPr>
              <w:t>1,0</w:t>
            </w:r>
          </w:p>
        </w:tc>
        <w:tc>
          <w:tcPr>
            <w:tcW w:w="414" w:type="pct"/>
            <w:shd w:val="clear" w:color="auto" w:fill="auto"/>
            <w:noWrap/>
            <w:vAlign w:val="bottom"/>
          </w:tcPr>
          <w:p w14:paraId="70C79BA8" w14:textId="77777777" w:rsidR="00E549A3" w:rsidRPr="00312485" w:rsidRDefault="00E549A3" w:rsidP="000E2A7E">
            <w:pPr>
              <w:ind w:firstLine="0"/>
              <w:jc w:val="center"/>
              <w:rPr>
                <w:noProof/>
                <w:sz w:val="16"/>
                <w:szCs w:val="16"/>
                <w:lang w:val="ro-MD"/>
              </w:rPr>
            </w:pPr>
            <w:r w:rsidRPr="00312485">
              <w:rPr>
                <w:noProof/>
                <w:sz w:val="16"/>
                <w:szCs w:val="16"/>
                <w:lang w:val="ro-MD"/>
              </w:rPr>
              <w:t>0,9</w:t>
            </w:r>
          </w:p>
        </w:tc>
      </w:tr>
      <w:tr w:rsidR="00E549A3" w:rsidRPr="00312485" w14:paraId="72BEC163" w14:textId="77777777" w:rsidTr="00224E00">
        <w:trPr>
          <w:trHeight w:val="300"/>
        </w:trPr>
        <w:tc>
          <w:tcPr>
            <w:tcW w:w="1689" w:type="pct"/>
            <w:shd w:val="clear" w:color="auto" w:fill="auto"/>
            <w:vAlign w:val="bottom"/>
            <w:hideMark/>
          </w:tcPr>
          <w:p w14:paraId="2D2990D4"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Învățământ</w:t>
            </w:r>
          </w:p>
        </w:tc>
        <w:tc>
          <w:tcPr>
            <w:tcW w:w="572" w:type="pct"/>
            <w:gridSpan w:val="2"/>
            <w:shd w:val="clear" w:color="auto" w:fill="auto"/>
            <w:noWrap/>
            <w:vAlign w:val="bottom"/>
            <w:hideMark/>
          </w:tcPr>
          <w:p w14:paraId="2EA5D8E7" w14:textId="77777777" w:rsidR="00E549A3" w:rsidRPr="00312485" w:rsidRDefault="00E549A3" w:rsidP="000E2A7E">
            <w:pPr>
              <w:ind w:firstLine="0"/>
              <w:jc w:val="center"/>
              <w:rPr>
                <w:noProof/>
                <w:sz w:val="16"/>
                <w:szCs w:val="16"/>
                <w:lang w:val="ro-MD"/>
              </w:rPr>
            </w:pPr>
            <w:r w:rsidRPr="00312485">
              <w:rPr>
                <w:noProof/>
                <w:sz w:val="16"/>
                <w:szCs w:val="16"/>
                <w:lang w:val="ro-MD"/>
              </w:rPr>
              <w:t>19 644</w:t>
            </w:r>
          </w:p>
        </w:tc>
        <w:tc>
          <w:tcPr>
            <w:tcW w:w="439" w:type="pct"/>
            <w:gridSpan w:val="2"/>
            <w:shd w:val="clear" w:color="auto" w:fill="auto"/>
            <w:noWrap/>
            <w:vAlign w:val="bottom"/>
            <w:hideMark/>
          </w:tcPr>
          <w:p w14:paraId="2B7EDF20" w14:textId="77777777" w:rsidR="00E549A3" w:rsidRPr="00312485" w:rsidRDefault="00E549A3" w:rsidP="000E2A7E">
            <w:pPr>
              <w:ind w:firstLine="0"/>
              <w:jc w:val="center"/>
              <w:rPr>
                <w:noProof/>
                <w:sz w:val="16"/>
                <w:szCs w:val="16"/>
                <w:lang w:val="ro-MD"/>
              </w:rPr>
            </w:pPr>
            <w:r w:rsidRPr="00312485">
              <w:rPr>
                <w:noProof/>
                <w:sz w:val="16"/>
                <w:szCs w:val="16"/>
                <w:lang w:val="ro-MD"/>
              </w:rPr>
              <w:t>19 721</w:t>
            </w:r>
          </w:p>
        </w:tc>
        <w:tc>
          <w:tcPr>
            <w:tcW w:w="364" w:type="pct"/>
            <w:shd w:val="clear" w:color="auto" w:fill="auto"/>
            <w:noWrap/>
            <w:vAlign w:val="bottom"/>
          </w:tcPr>
          <w:p w14:paraId="3D4293DC" w14:textId="77777777" w:rsidR="00E549A3" w:rsidRPr="00312485" w:rsidRDefault="00E549A3" w:rsidP="000E2A7E">
            <w:pPr>
              <w:ind w:firstLine="0"/>
              <w:jc w:val="center"/>
              <w:rPr>
                <w:noProof/>
                <w:sz w:val="16"/>
                <w:szCs w:val="16"/>
                <w:lang w:val="ro-MD"/>
              </w:rPr>
            </w:pPr>
            <w:r w:rsidRPr="00312485">
              <w:rPr>
                <w:noProof/>
                <w:sz w:val="16"/>
                <w:szCs w:val="16"/>
                <w:lang w:val="ro-MD"/>
              </w:rPr>
              <w:t>21 690</w:t>
            </w:r>
          </w:p>
        </w:tc>
        <w:tc>
          <w:tcPr>
            <w:tcW w:w="400" w:type="pct"/>
            <w:shd w:val="clear" w:color="auto" w:fill="auto"/>
            <w:noWrap/>
            <w:vAlign w:val="bottom"/>
          </w:tcPr>
          <w:p w14:paraId="3E2F3278" w14:textId="77777777" w:rsidR="00E549A3" w:rsidRPr="00312485" w:rsidRDefault="00E549A3" w:rsidP="000E2A7E">
            <w:pPr>
              <w:ind w:firstLine="0"/>
              <w:jc w:val="center"/>
              <w:rPr>
                <w:noProof/>
                <w:sz w:val="16"/>
                <w:szCs w:val="16"/>
                <w:lang w:val="ro-MD"/>
              </w:rPr>
            </w:pPr>
            <w:r w:rsidRPr="00312485">
              <w:rPr>
                <w:noProof/>
                <w:sz w:val="16"/>
                <w:szCs w:val="16"/>
                <w:lang w:val="ro-MD"/>
              </w:rPr>
              <w:t>22 132</w:t>
            </w:r>
          </w:p>
        </w:tc>
        <w:tc>
          <w:tcPr>
            <w:tcW w:w="364" w:type="pct"/>
            <w:shd w:val="clear" w:color="auto" w:fill="auto"/>
            <w:noWrap/>
            <w:vAlign w:val="bottom"/>
            <w:hideMark/>
          </w:tcPr>
          <w:p w14:paraId="33AFED60" w14:textId="77777777" w:rsidR="00E549A3" w:rsidRPr="00312485" w:rsidRDefault="00E549A3" w:rsidP="000E2A7E">
            <w:pPr>
              <w:ind w:firstLine="0"/>
              <w:jc w:val="center"/>
              <w:rPr>
                <w:noProof/>
                <w:sz w:val="16"/>
                <w:szCs w:val="16"/>
                <w:lang w:val="ro-MD"/>
              </w:rPr>
            </w:pPr>
            <w:r w:rsidRPr="00312485">
              <w:rPr>
                <w:noProof/>
                <w:sz w:val="16"/>
                <w:szCs w:val="16"/>
                <w:lang w:val="ro-MD"/>
              </w:rPr>
              <w:t>5,0</w:t>
            </w:r>
          </w:p>
        </w:tc>
        <w:tc>
          <w:tcPr>
            <w:tcW w:w="396" w:type="pct"/>
            <w:shd w:val="clear" w:color="auto" w:fill="auto"/>
            <w:noWrap/>
            <w:vAlign w:val="bottom"/>
            <w:hideMark/>
          </w:tcPr>
          <w:p w14:paraId="7F325629" w14:textId="77777777" w:rsidR="00E549A3" w:rsidRPr="00312485" w:rsidRDefault="00E549A3" w:rsidP="000E2A7E">
            <w:pPr>
              <w:ind w:firstLine="0"/>
              <w:jc w:val="center"/>
              <w:rPr>
                <w:noProof/>
                <w:sz w:val="16"/>
                <w:szCs w:val="16"/>
                <w:lang w:val="ro-MD"/>
              </w:rPr>
            </w:pPr>
            <w:r w:rsidRPr="00312485">
              <w:rPr>
                <w:noProof/>
                <w:sz w:val="16"/>
                <w:szCs w:val="16"/>
                <w:lang w:val="ro-MD"/>
              </w:rPr>
              <w:t>4,6</w:t>
            </w:r>
          </w:p>
        </w:tc>
        <w:tc>
          <w:tcPr>
            <w:tcW w:w="362" w:type="pct"/>
            <w:shd w:val="clear" w:color="auto" w:fill="auto"/>
            <w:noWrap/>
            <w:vAlign w:val="bottom"/>
          </w:tcPr>
          <w:p w14:paraId="49205E60" w14:textId="77777777" w:rsidR="00E549A3" w:rsidRPr="00312485" w:rsidRDefault="00E549A3" w:rsidP="000E2A7E">
            <w:pPr>
              <w:ind w:firstLine="0"/>
              <w:jc w:val="center"/>
              <w:rPr>
                <w:noProof/>
                <w:sz w:val="16"/>
                <w:szCs w:val="16"/>
                <w:lang w:val="ro-MD"/>
              </w:rPr>
            </w:pPr>
            <w:r w:rsidRPr="00312485">
              <w:rPr>
                <w:noProof/>
                <w:sz w:val="16"/>
                <w:szCs w:val="16"/>
                <w:lang w:val="ro-MD"/>
              </w:rPr>
              <w:t>5,7</w:t>
            </w:r>
          </w:p>
        </w:tc>
        <w:tc>
          <w:tcPr>
            <w:tcW w:w="414" w:type="pct"/>
            <w:shd w:val="clear" w:color="auto" w:fill="auto"/>
            <w:noWrap/>
            <w:vAlign w:val="bottom"/>
          </w:tcPr>
          <w:p w14:paraId="79D16FE6" w14:textId="77777777" w:rsidR="00E549A3" w:rsidRPr="00312485" w:rsidRDefault="00E549A3" w:rsidP="000E2A7E">
            <w:pPr>
              <w:ind w:firstLine="0"/>
              <w:jc w:val="center"/>
              <w:rPr>
                <w:noProof/>
                <w:sz w:val="16"/>
                <w:szCs w:val="16"/>
                <w:lang w:val="ro-MD"/>
              </w:rPr>
            </w:pPr>
            <w:r w:rsidRPr="00312485">
              <w:rPr>
                <w:noProof/>
                <w:sz w:val="16"/>
                <w:szCs w:val="16"/>
                <w:lang w:val="ro-MD"/>
              </w:rPr>
              <w:t>5,4</w:t>
            </w:r>
          </w:p>
        </w:tc>
      </w:tr>
      <w:tr w:rsidR="00E549A3" w:rsidRPr="00312485" w14:paraId="2DCD3FD0" w14:textId="77777777" w:rsidTr="00224E00">
        <w:trPr>
          <w:trHeight w:val="300"/>
        </w:trPr>
        <w:tc>
          <w:tcPr>
            <w:tcW w:w="1689" w:type="pct"/>
            <w:shd w:val="clear" w:color="auto" w:fill="auto"/>
            <w:vAlign w:val="bottom"/>
            <w:hideMark/>
          </w:tcPr>
          <w:p w14:paraId="1B0DF677" w14:textId="77777777" w:rsidR="00E549A3" w:rsidRPr="00312485" w:rsidRDefault="00E549A3" w:rsidP="000E2A7E">
            <w:pPr>
              <w:ind w:firstLineChars="100" w:firstLine="160"/>
              <w:jc w:val="left"/>
              <w:rPr>
                <w:noProof/>
                <w:sz w:val="16"/>
                <w:szCs w:val="16"/>
                <w:lang w:val="ro-MD"/>
              </w:rPr>
            </w:pPr>
            <w:r w:rsidRPr="00312485">
              <w:rPr>
                <w:noProof/>
                <w:sz w:val="16"/>
                <w:szCs w:val="16"/>
                <w:lang w:val="ro-MD"/>
              </w:rPr>
              <w:t>Protecție socială</w:t>
            </w:r>
          </w:p>
        </w:tc>
        <w:tc>
          <w:tcPr>
            <w:tcW w:w="572" w:type="pct"/>
            <w:gridSpan w:val="2"/>
            <w:shd w:val="clear" w:color="auto" w:fill="auto"/>
            <w:noWrap/>
            <w:vAlign w:val="bottom"/>
            <w:hideMark/>
          </w:tcPr>
          <w:p w14:paraId="01B504AF" w14:textId="77777777" w:rsidR="00E549A3" w:rsidRPr="00312485" w:rsidRDefault="00E549A3" w:rsidP="000E2A7E">
            <w:pPr>
              <w:ind w:firstLine="0"/>
              <w:jc w:val="center"/>
              <w:rPr>
                <w:noProof/>
                <w:sz w:val="16"/>
                <w:szCs w:val="16"/>
                <w:lang w:val="ro-MD"/>
              </w:rPr>
            </w:pPr>
            <w:r w:rsidRPr="00312485">
              <w:rPr>
                <w:noProof/>
                <w:sz w:val="16"/>
                <w:szCs w:val="16"/>
                <w:lang w:val="ro-MD"/>
              </w:rPr>
              <w:t>52 961</w:t>
            </w:r>
          </w:p>
        </w:tc>
        <w:tc>
          <w:tcPr>
            <w:tcW w:w="439" w:type="pct"/>
            <w:gridSpan w:val="2"/>
            <w:shd w:val="clear" w:color="auto" w:fill="auto"/>
            <w:noWrap/>
            <w:vAlign w:val="bottom"/>
            <w:hideMark/>
          </w:tcPr>
          <w:p w14:paraId="18814BB3" w14:textId="77777777" w:rsidR="00E549A3" w:rsidRPr="00312485" w:rsidRDefault="00E549A3" w:rsidP="000E2A7E">
            <w:pPr>
              <w:ind w:firstLine="0"/>
              <w:jc w:val="center"/>
              <w:rPr>
                <w:noProof/>
                <w:sz w:val="16"/>
                <w:szCs w:val="16"/>
                <w:lang w:val="ro-MD"/>
              </w:rPr>
            </w:pPr>
            <w:r w:rsidRPr="00312485">
              <w:rPr>
                <w:noProof/>
                <w:sz w:val="16"/>
                <w:szCs w:val="16"/>
                <w:lang w:val="ro-MD"/>
              </w:rPr>
              <w:t>56 154</w:t>
            </w:r>
          </w:p>
        </w:tc>
        <w:tc>
          <w:tcPr>
            <w:tcW w:w="364" w:type="pct"/>
            <w:shd w:val="clear" w:color="auto" w:fill="auto"/>
            <w:noWrap/>
            <w:vAlign w:val="bottom"/>
          </w:tcPr>
          <w:p w14:paraId="3341C641" w14:textId="77777777" w:rsidR="00E549A3" w:rsidRPr="00312485" w:rsidRDefault="00E549A3" w:rsidP="000E2A7E">
            <w:pPr>
              <w:ind w:firstLine="0"/>
              <w:jc w:val="center"/>
              <w:rPr>
                <w:noProof/>
                <w:sz w:val="16"/>
                <w:szCs w:val="16"/>
                <w:lang w:val="ro-MD"/>
              </w:rPr>
            </w:pPr>
            <w:r w:rsidRPr="00312485">
              <w:rPr>
                <w:noProof/>
                <w:sz w:val="16"/>
                <w:szCs w:val="16"/>
                <w:lang w:val="ro-MD"/>
              </w:rPr>
              <w:t>54 835</w:t>
            </w:r>
          </w:p>
        </w:tc>
        <w:tc>
          <w:tcPr>
            <w:tcW w:w="400" w:type="pct"/>
            <w:shd w:val="clear" w:color="auto" w:fill="auto"/>
            <w:noWrap/>
            <w:vAlign w:val="bottom"/>
          </w:tcPr>
          <w:p w14:paraId="7D5F8D3E" w14:textId="77777777" w:rsidR="00E549A3" w:rsidRPr="00312485" w:rsidRDefault="00E549A3" w:rsidP="000E2A7E">
            <w:pPr>
              <w:ind w:firstLine="0"/>
              <w:jc w:val="center"/>
              <w:rPr>
                <w:noProof/>
                <w:sz w:val="16"/>
                <w:szCs w:val="16"/>
                <w:lang w:val="ro-MD"/>
              </w:rPr>
            </w:pPr>
            <w:r w:rsidRPr="00312485">
              <w:rPr>
                <w:noProof/>
                <w:sz w:val="16"/>
                <w:szCs w:val="16"/>
                <w:lang w:val="ro-MD"/>
              </w:rPr>
              <w:t>58 395</w:t>
            </w:r>
          </w:p>
        </w:tc>
        <w:tc>
          <w:tcPr>
            <w:tcW w:w="364" w:type="pct"/>
            <w:shd w:val="clear" w:color="auto" w:fill="auto"/>
            <w:noWrap/>
            <w:vAlign w:val="bottom"/>
            <w:hideMark/>
          </w:tcPr>
          <w:p w14:paraId="55BA775D" w14:textId="77777777" w:rsidR="00E549A3" w:rsidRPr="00312485" w:rsidRDefault="00E549A3" w:rsidP="000E2A7E">
            <w:pPr>
              <w:ind w:firstLine="0"/>
              <w:jc w:val="center"/>
              <w:rPr>
                <w:noProof/>
                <w:sz w:val="16"/>
                <w:szCs w:val="16"/>
                <w:lang w:val="ro-MD"/>
              </w:rPr>
            </w:pPr>
            <w:r w:rsidRPr="00312485">
              <w:rPr>
                <w:noProof/>
                <w:sz w:val="16"/>
                <w:szCs w:val="16"/>
                <w:lang w:val="ro-MD"/>
              </w:rPr>
              <w:t>13,5</w:t>
            </w:r>
          </w:p>
        </w:tc>
        <w:tc>
          <w:tcPr>
            <w:tcW w:w="396" w:type="pct"/>
            <w:shd w:val="clear" w:color="auto" w:fill="auto"/>
            <w:noWrap/>
            <w:vAlign w:val="bottom"/>
            <w:hideMark/>
          </w:tcPr>
          <w:p w14:paraId="6D81FDBA" w14:textId="77777777" w:rsidR="00E549A3" w:rsidRPr="00312485" w:rsidRDefault="00E549A3" w:rsidP="000E2A7E">
            <w:pPr>
              <w:ind w:firstLine="0"/>
              <w:jc w:val="center"/>
              <w:rPr>
                <w:noProof/>
                <w:sz w:val="16"/>
                <w:szCs w:val="16"/>
                <w:lang w:val="ro-MD"/>
              </w:rPr>
            </w:pPr>
            <w:r w:rsidRPr="00312485">
              <w:rPr>
                <w:noProof/>
                <w:sz w:val="16"/>
                <w:szCs w:val="16"/>
                <w:lang w:val="ro-MD"/>
              </w:rPr>
              <w:t>13,1</w:t>
            </w:r>
          </w:p>
        </w:tc>
        <w:tc>
          <w:tcPr>
            <w:tcW w:w="362" w:type="pct"/>
            <w:shd w:val="clear" w:color="auto" w:fill="auto"/>
            <w:noWrap/>
            <w:vAlign w:val="bottom"/>
          </w:tcPr>
          <w:p w14:paraId="2EEFCBB2" w14:textId="77777777" w:rsidR="00E549A3" w:rsidRPr="00312485" w:rsidRDefault="00E549A3" w:rsidP="000E2A7E">
            <w:pPr>
              <w:ind w:firstLine="0"/>
              <w:jc w:val="center"/>
              <w:rPr>
                <w:noProof/>
                <w:sz w:val="16"/>
                <w:szCs w:val="16"/>
                <w:lang w:val="ro-MD"/>
              </w:rPr>
            </w:pPr>
            <w:r w:rsidRPr="00312485">
              <w:rPr>
                <w:noProof/>
                <w:sz w:val="16"/>
                <w:szCs w:val="16"/>
                <w:lang w:val="ro-MD"/>
              </w:rPr>
              <w:t>14,4</w:t>
            </w:r>
          </w:p>
        </w:tc>
        <w:tc>
          <w:tcPr>
            <w:tcW w:w="414" w:type="pct"/>
            <w:shd w:val="clear" w:color="auto" w:fill="auto"/>
            <w:noWrap/>
            <w:vAlign w:val="bottom"/>
          </w:tcPr>
          <w:p w14:paraId="406640B5" w14:textId="77777777" w:rsidR="00E549A3" w:rsidRPr="00312485" w:rsidRDefault="00E549A3" w:rsidP="000E2A7E">
            <w:pPr>
              <w:ind w:firstLine="0"/>
              <w:jc w:val="center"/>
              <w:rPr>
                <w:noProof/>
                <w:sz w:val="16"/>
                <w:szCs w:val="16"/>
                <w:lang w:val="ro-MD"/>
              </w:rPr>
            </w:pPr>
            <w:r w:rsidRPr="00312485">
              <w:rPr>
                <w:noProof/>
                <w:sz w:val="16"/>
                <w:szCs w:val="16"/>
                <w:lang w:val="ro-MD"/>
              </w:rPr>
              <w:t>14,2</w:t>
            </w:r>
          </w:p>
        </w:tc>
      </w:tr>
    </w:tbl>
    <w:p w14:paraId="3615E328" w14:textId="77777777" w:rsidR="00E549A3" w:rsidRPr="00312485" w:rsidRDefault="00E549A3" w:rsidP="00E549A3">
      <w:pPr>
        <w:keepNext/>
        <w:tabs>
          <w:tab w:val="left" w:pos="397"/>
        </w:tabs>
        <w:ind w:firstLine="284"/>
        <w:jc w:val="left"/>
        <w:outlineLvl w:val="1"/>
        <w:rPr>
          <w:rFonts w:eastAsia="Calibri"/>
          <w:noProof/>
          <w:sz w:val="16"/>
          <w:lang w:val="ro-MD"/>
        </w:rPr>
      </w:pPr>
      <w:bookmarkStart w:id="6" w:name="_Toc175822065"/>
      <w:bookmarkStart w:id="7" w:name="_Toc175824586"/>
      <w:bookmarkStart w:id="8" w:name="_Toc175825269"/>
      <w:bookmarkStart w:id="9" w:name="_Toc175825357"/>
      <w:r w:rsidRPr="00312485">
        <w:rPr>
          <w:i/>
          <w:noProof/>
          <w:color w:val="000000"/>
          <w:sz w:val="16"/>
          <w:lang w:val="ro-MD" w:eastAsia="ro-RO"/>
        </w:rPr>
        <w:t>Sursa:  Ministerul Finanțelor</w:t>
      </w:r>
      <w:bookmarkEnd w:id="6"/>
      <w:bookmarkEnd w:id="7"/>
      <w:bookmarkEnd w:id="8"/>
      <w:bookmarkEnd w:id="9"/>
    </w:p>
    <w:p w14:paraId="00B85226" w14:textId="77777777" w:rsidR="00E549A3" w:rsidRPr="00312485" w:rsidRDefault="00E549A3" w:rsidP="00E549A3">
      <w:pPr>
        <w:ind w:firstLine="567"/>
        <w:rPr>
          <w:rFonts w:eastAsia="Calibri"/>
          <w:noProof/>
          <w:sz w:val="24"/>
          <w:szCs w:val="24"/>
          <w:lang w:val="ro-MD"/>
        </w:rPr>
      </w:pPr>
      <w:r w:rsidRPr="00312485">
        <w:rPr>
          <w:rFonts w:eastAsia="Calibri"/>
          <w:noProof/>
          <w:sz w:val="24"/>
          <w:szCs w:val="24"/>
          <w:lang w:val="ro-MD"/>
        </w:rPr>
        <w:tab/>
      </w:r>
    </w:p>
    <w:p w14:paraId="3A341C66" w14:textId="77777777" w:rsidR="00E549A3" w:rsidRPr="00312485" w:rsidRDefault="00E549A3" w:rsidP="00E549A3">
      <w:pPr>
        <w:rPr>
          <w:noProof/>
          <w:sz w:val="24"/>
          <w:szCs w:val="24"/>
          <w:lang w:val="ro-MD"/>
        </w:rPr>
      </w:pPr>
      <w:r w:rsidRPr="00312485">
        <w:rPr>
          <w:noProof/>
          <w:sz w:val="24"/>
          <w:szCs w:val="24"/>
          <w:lang w:val="ro-MD"/>
        </w:rPr>
        <w:t xml:space="preserve">Estimările actualizate pentru perioada 2026-2027 indică o creștere a cheltuielilor bugetare raportate la PIB cu 5,5 puncte procentuale în anul 2026 și cu 5,1 puncte procentuale în anul 2027, fiind vizate toate domeniile. Cele mai semnificative majorări sunt estimate pentru domeniile sociale (protecție socială, educație, ocrotirea sănătății) și domeniile economice. </w:t>
      </w:r>
    </w:p>
    <w:p w14:paraId="7C324F6B" w14:textId="77777777" w:rsidR="00E549A3" w:rsidRPr="00312485" w:rsidRDefault="00E549A3" w:rsidP="00E549A3">
      <w:pPr>
        <w:rPr>
          <w:noProof/>
          <w:sz w:val="24"/>
          <w:szCs w:val="24"/>
          <w:lang w:val="ro-MD"/>
        </w:rPr>
      </w:pPr>
      <w:r w:rsidRPr="00312485">
        <w:rPr>
          <w:noProof/>
          <w:sz w:val="24"/>
          <w:szCs w:val="24"/>
          <w:lang w:val="ro-MD"/>
        </w:rPr>
        <w:t>Creșterea respectivă se estimează în concordanță cu cadrul de resurse revizuit și cu prioritățile de politici actualizate.</w:t>
      </w:r>
    </w:p>
    <w:p w14:paraId="311DA36C" w14:textId="77777777" w:rsidR="00E549A3" w:rsidRPr="00312485" w:rsidRDefault="00E549A3" w:rsidP="00E549A3">
      <w:pPr>
        <w:rPr>
          <w:noProof/>
          <w:sz w:val="24"/>
          <w:szCs w:val="24"/>
          <w:lang w:val="ro-MD"/>
        </w:rPr>
      </w:pPr>
      <w:r w:rsidRPr="00312485">
        <w:rPr>
          <w:noProof/>
          <w:sz w:val="24"/>
          <w:szCs w:val="24"/>
          <w:lang w:val="ro-MD"/>
        </w:rPr>
        <w:tab/>
        <w:t xml:space="preserve">Astfel, atât în valori nominale, cât și ca pondere în PIB au fost estimate majorări la domeniile protecție socială, învățământ, ordine publică și securitate națională, cheltuielile fiind revizuite ca urmare a implementării măsurilor de politică salarială. </w:t>
      </w:r>
    </w:p>
    <w:p w14:paraId="026083A9" w14:textId="6329D48D" w:rsidR="00985C08" w:rsidRPr="00312485" w:rsidRDefault="00EC51DF" w:rsidP="00985C08">
      <w:pPr>
        <w:ind w:firstLine="567"/>
        <w:contextualSpacing/>
        <w:rPr>
          <w:rFonts w:eastAsia="Calibri"/>
          <w:sz w:val="24"/>
          <w:szCs w:val="28"/>
          <w:lang w:val="ro-MD" w:eastAsia="ru-RU"/>
        </w:rPr>
      </w:pPr>
      <w:r>
        <w:rPr>
          <w:rFonts w:eastAsia="Calibri"/>
          <w:sz w:val="24"/>
          <w:szCs w:val="28"/>
          <w:lang w:val="ro-MD" w:eastAsia="ru-RU"/>
        </w:rPr>
        <w:t>E</w:t>
      </w:r>
      <w:r w:rsidRPr="00312485">
        <w:rPr>
          <w:rFonts w:eastAsia="Calibri"/>
          <w:sz w:val="24"/>
          <w:szCs w:val="28"/>
          <w:lang w:val="ro-MD" w:eastAsia="ru-RU"/>
        </w:rPr>
        <w:t>stimările privind soldul datoriei de stat</w:t>
      </w:r>
      <w:r w:rsidR="00985C08" w:rsidRPr="00312485">
        <w:rPr>
          <w:rFonts w:eastAsia="Calibri"/>
          <w:sz w:val="24"/>
          <w:szCs w:val="28"/>
          <w:lang w:val="ro-MD" w:eastAsia="ru-RU"/>
        </w:rPr>
        <w:t xml:space="preserve"> pentru anii 2026-2027 </w:t>
      </w:r>
      <w:r>
        <w:rPr>
          <w:rFonts w:eastAsia="Calibri"/>
          <w:sz w:val="24"/>
          <w:szCs w:val="28"/>
          <w:lang w:val="ro-MD" w:eastAsia="ru-RU"/>
        </w:rPr>
        <w:t>comparativ cu</w:t>
      </w:r>
      <w:r w:rsidRPr="00312485">
        <w:rPr>
          <w:rFonts w:eastAsia="Calibri"/>
          <w:sz w:val="24"/>
          <w:szCs w:val="28"/>
          <w:lang w:val="ro-MD" w:eastAsia="ru-RU"/>
        </w:rPr>
        <w:t xml:space="preserve"> CBTM (2025-2027</w:t>
      </w:r>
      <w:r>
        <w:rPr>
          <w:rFonts w:eastAsia="Calibri"/>
          <w:sz w:val="24"/>
          <w:szCs w:val="28"/>
          <w:lang w:val="ro-MD" w:eastAsia="ru-RU"/>
        </w:rPr>
        <w:t xml:space="preserve">) </w:t>
      </w:r>
      <w:r w:rsidR="00985C08" w:rsidRPr="00312485">
        <w:rPr>
          <w:rFonts w:eastAsia="Calibri"/>
          <w:sz w:val="24"/>
          <w:szCs w:val="28"/>
          <w:lang w:val="ro-MD" w:eastAsia="ru-RU"/>
        </w:rPr>
        <w:t>au fost revizuite primordial din contul actualizării prognozei aferente finanțării externe nete pozitive în creștere (inclusiv includerea în estimări a împrumutului acordat de Uniunea Europeană, în cadrul Planului de Creștere Economică pentru Republica Moldova (</w:t>
      </w:r>
      <w:proofErr w:type="spellStart"/>
      <w:r w:rsidR="00985C08" w:rsidRPr="00312485">
        <w:rPr>
          <w:rFonts w:eastAsia="Calibri"/>
          <w:sz w:val="24"/>
          <w:szCs w:val="28"/>
          <w:lang w:val="ro-MD" w:eastAsia="ru-RU"/>
        </w:rPr>
        <w:t>Growth</w:t>
      </w:r>
      <w:proofErr w:type="spellEnd"/>
      <w:r w:rsidR="00985C08" w:rsidRPr="00312485">
        <w:rPr>
          <w:rFonts w:eastAsia="Calibri"/>
          <w:sz w:val="24"/>
          <w:szCs w:val="28"/>
          <w:lang w:val="ro-MD" w:eastAsia="ru-RU"/>
        </w:rPr>
        <w:t xml:space="preserve"> Plan)). În același timp, comparativ cu prognozele anterioare, soldul datoriei de stat interne a fost revizuit în sens descrescător, urmare diminuării finanțării interne nete pentru anii 2026-2027.</w:t>
      </w:r>
    </w:p>
    <w:p w14:paraId="18D8E9F9" w14:textId="77777777" w:rsidR="004C5674" w:rsidRPr="00312485" w:rsidRDefault="004C5674" w:rsidP="004C5674">
      <w:pPr>
        <w:spacing w:before="240"/>
        <w:ind w:firstLine="567"/>
        <w:contextualSpacing/>
        <w:rPr>
          <w:rFonts w:eastAsia="Calibri"/>
          <w:sz w:val="24"/>
          <w:szCs w:val="28"/>
          <w:lang w:val="ro-MD" w:eastAsia="ru-RU"/>
        </w:rPr>
      </w:pPr>
      <w:r w:rsidRPr="00312485">
        <w:rPr>
          <w:rFonts w:eastAsia="Calibri"/>
          <w:sz w:val="24"/>
          <w:szCs w:val="28"/>
          <w:lang w:val="ro-MD" w:eastAsia="ru-RU"/>
        </w:rPr>
        <w:t>Totodată, pentru perioada anilor 2026-2027 au fost revizuite cheltuielile aferente serviciului datoriei de stat, fiind în creștere cu 0,2 puncte procentuale din PIB, determinată de majorarea serviciului datoriei de stat interne din contul creșterii ratei medii ponderate anuale la VMS emise cu 2,5 puncte procentuale în anul 2026 și cu 2,0 puncte procentuale în anul 2027, precum și majorarea serviciului datoriei de stat externe ca rezultat al creșterii finanțării nete externe.</w:t>
      </w:r>
    </w:p>
    <w:p w14:paraId="28446EEE" w14:textId="50034591" w:rsidR="00985C08" w:rsidRPr="00312485" w:rsidRDefault="00985C08" w:rsidP="00167646">
      <w:pPr>
        <w:spacing w:before="120"/>
        <w:ind w:firstLine="567"/>
        <w:rPr>
          <w:rFonts w:eastAsia="Calibri"/>
          <w:sz w:val="24"/>
          <w:szCs w:val="28"/>
          <w:lang w:val="ro-MD" w:eastAsia="ru-RU"/>
        </w:rPr>
      </w:pPr>
      <w:r w:rsidRPr="00312485">
        <w:rPr>
          <w:rFonts w:eastAsia="Calibri"/>
          <w:sz w:val="24"/>
          <w:szCs w:val="28"/>
          <w:lang w:val="ro-MD" w:eastAsia="ru-RU"/>
        </w:rPr>
        <w:t xml:space="preserve">Devierile față de CBTM (2025-2027) pe indicatorii aferenți soldului și serviciului datoriei de stat se prezintă în tabelul </w:t>
      </w:r>
      <w:r w:rsidR="00677C19" w:rsidRPr="00312485">
        <w:rPr>
          <w:rFonts w:eastAsia="Calibri"/>
          <w:sz w:val="24"/>
          <w:szCs w:val="28"/>
          <w:lang w:val="ro-MD" w:eastAsia="ru-RU"/>
        </w:rPr>
        <w:t>5</w:t>
      </w:r>
      <w:r w:rsidRPr="00312485">
        <w:rPr>
          <w:rFonts w:eastAsia="Calibri"/>
          <w:sz w:val="24"/>
          <w:szCs w:val="28"/>
          <w:lang w:val="ro-MD" w:eastAsia="ru-RU"/>
        </w:rPr>
        <w:t>.</w:t>
      </w:r>
      <w:r w:rsidR="00677C19" w:rsidRPr="00312485">
        <w:rPr>
          <w:rFonts w:eastAsia="Calibri"/>
          <w:sz w:val="24"/>
          <w:szCs w:val="28"/>
          <w:lang w:val="ro-MD" w:eastAsia="ru-RU"/>
        </w:rPr>
        <w:t>3</w:t>
      </w:r>
      <w:r w:rsidRPr="00312485">
        <w:rPr>
          <w:rFonts w:eastAsia="Calibri"/>
          <w:sz w:val="24"/>
          <w:szCs w:val="28"/>
          <w:lang w:val="ro-MD" w:eastAsia="ru-RU"/>
        </w:rPr>
        <w:t>:</w:t>
      </w:r>
    </w:p>
    <w:p w14:paraId="6460695D" w14:textId="0B676839" w:rsidR="00985C08" w:rsidRPr="00312485" w:rsidRDefault="00985C08" w:rsidP="00DC09B3">
      <w:pPr>
        <w:spacing w:before="240" w:line="276" w:lineRule="auto"/>
        <w:ind w:right="-85" w:firstLine="567"/>
        <w:contextualSpacing/>
        <w:jc w:val="right"/>
        <w:rPr>
          <w:rFonts w:eastAsia="Calibri"/>
          <w:b/>
          <w:bCs/>
          <w:sz w:val="22"/>
          <w:szCs w:val="28"/>
          <w:lang w:val="ro-MD"/>
        </w:rPr>
      </w:pPr>
      <w:r w:rsidRPr="00312485">
        <w:rPr>
          <w:rFonts w:eastAsia="Calibri"/>
          <w:b/>
          <w:bCs/>
          <w:sz w:val="22"/>
          <w:szCs w:val="28"/>
          <w:lang w:val="ro-MD"/>
        </w:rPr>
        <w:t xml:space="preserve">Tabelul </w:t>
      </w:r>
      <w:r w:rsidR="00677C19" w:rsidRPr="00312485">
        <w:rPr>
          <w:rFonts w:eastAsia="Calibri"/>
          <w:b/>
          <w:bCs/>
          <w:sz w:val="22"/>
          <w:szCs w:val="28"/>
          <w:lang w:val="ro-MD"/>
        </w:rPr>
        <w:t>5</w:t>
      </w:r>
      <w:r w:rsidRPr="00312485">
        <w:rPr>
          <w:rFonts w:eastAsia="Calibri"/>
          <w:b/>
          <w:bCs/>
          <w:sz w:val="22"/>
          <w:szCs w:val="28"/>
          <w:lang w:val="ro-MD"/>
        </w:rPr>
        <w:t>.</w:t>
      </w:r>
      <w:r w:rsidR="00677C19" w:rsidRPr="00312485">
        <w:rPr>
          <w:rFonts w:eastAsia="Calibri"/>
          <w:b/>
          <w:bCs/>
          <w:sz w:val="22"/>
          <w:szCs w:val="28"/>
          <w:lang w:val="ro-MD"/>
        </w:rPr>
        <w:t>3</w:t>
      </w:r>
    </w:p>
    <w:p w14:paraId="61B70ADF" w14:textId="77777777" w:rsidR="00985C08" w:rsidRPr="00312485" w:rsidRDefault="00985C08" w:rsidP="00985C08">
      <w:pPr>
        <w:spacing w:line="276" w:lineRule="auto"/>
        <w:ind w:firstLine="567"/>
        <w:contextualSpacing/>
        <w:rPr>
          <w:rFonts w:eastAsia="Calibri"/>
          <w:sz w:val="24"/>
          <w:szCs w:val="24"/>
          <w:lang w:val="ro-MD" w:eastAsia="ru-RU"/>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51"/>
        <w:gridCol w:w="1016"/>
        <w:gridCol w:w="1016"/>
        <w:gridCol w:w="1016"/>
        <w:gridCol w:w="1016"/>
        <w:gridCol w:w="653"/>
        <w:gridCol w:w="653"/>
        <w:gridCol w:w="567"/>
        <w:gridCol w:w="699"/>
      </w:tblGrid>
      <w:tr w:rsidR="00985C08" w:rsidRPr="00312485" w14:paraId="29AFF808" w14:textId="77777777" w:rsidTr="000E2852">
        <w:trPr>
          <w:tblHeader/>
          <w:jc w:val="center"/>
        </w:trPr>
        <w:tc>
          <w:tcPr>
            <w:tcW w:w="2751" w:type="dxa"/>
            <w:vMerge w:val="restart"/>
            <w:tcMar>
              <w:top w:w="0" w:type="dxa"/>
              <w:left w:w="115" w:type="dxa"/>
              <w:bottom w:w="0" w:type="dxa"/>
              <w:right w:w="115" w:type="dxa"/>
            </w:tcMar>
            <w:vAlign w:val="center"/>
            <w:hideMark/>
          </w:tcPr>
          <w:p w14:paraId="4628F10A" w14:textId="77777777" w:rsidR="00985C08" w:rsidRPr="00312485" w:rsidRDefault="00985C08" w:rsidP="000E2A7E">
            <w:pPr>
              <w:spacing w:line="276" w:lineRule="auto"/>
              <w:ind w:firstLine="0"/>
              <w:jc w:val="center"/>
              <w:rPr>
                <w:b/>
                <w:bCs/>
                <w:sz w:val="16"/>
                <w:lang w:val="ro-MD"/>
              </w:rPr>
            </w:pPr>
          </w:p>
        </w:tc>
        <w:tc>
          <w:tcPr>
            <w:tcW w:w="2032" w:type="dxa"/>
            <w:gridSpan w:val="2"/>
            <w:tcMar>
              <w:top w:w="0" w:type="dxa"/>
              <w:left w:w="115" w:type="dxa"/>
              <w:bottom w:w="0" w:type="dxa"/>
              <w:right w:w="115" w:type="dxa"/>
            </w:tcMar>
            <w:vAlign w:val="center"/>
            <w:hideMark/>
          </w:tcPr>
          <w:p w14:paraId="2BB3F948" w14:textId="77777777" w:rsidR="00985C08" w:rsidRPr="00312485" w:rsidRDefault="00985C08" w:rsidP="000E2A7E">
            <w:pPr>
              <w:spacing w:line="276" w:lineRule="auto"/>
              <w:ind w:firstLine="0"/>
              <w:jc w:val="center"/>
              <w:rPr>
                <w:b/>
                <w:bCs/>
                <w:color w:val="000000"/>
                <w:sz w:val="16"/>
                <w:shd w:val="clear" w:color="auto" w:fill="FFFFFF"/>
                <w:lang w:val="ro-MD"/>
              </w:rPr>
            </w:pPr>
            <w:r w:rsidRPr="00312485">
              <w:rPr>
                <w:b/>
                <w:bCs/>
                <w:color w:val="000000"/>
                <w:sz w:val="16"/>
                <w:shd w:val="clear" w:color="auto" w:fill="FFFFFF"/>
                <w:lang w:val="ro-MD"/>
              </w:rPr>
              <w:t xml:space="preserve">CBTM </w:t>
            </w:r>
          </w:p>
          <w:p w14:paraId="326F012B"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(2025-2027)</w:t>
            </w:r>
          </w:p>
        </w:tc>
        <w:tc>
          <w:tcPr>
            <w:tcW w:w="2032" w:type="dxa"/>
            <w:gridSpan w:val="2"/>
            <w:vAlign w:val="center"/>
          </w:tcPr>
          <w:p w14:paraId="678CA96F" w14:textId="77777777" w:rsidR="00985C08" w:rsidRPr="00312485" w:rsidRDefault="00985C08" w:rsidP="000E2A7E">
            <w:pPr>
              <w:spacing w:line="276" w:lineRule="auto"/>
              <w:ind w:firstLine="0"/>
              <w:jc w:val="center"/>
              <w:rPr>
                <w:b/>
                <w:color w:val="000000"/>
                <w:sz w:val="16"/>
                <w:shd w:val="clear" w:color="auto" w:fill="FFFFFF"/>
                <w:lang w:val="ro-MD"/>
              </w:rPr>
            </w:pPr>
            <w:r w:rsidRPr="00312485">
              <w:rPr>
                <w:b/>
                <w:color w:val="000000"/>
                <w:sz w:val="16"/>
                <w:shd w:val="clear" w:color="auto" w:fill="FFFFFF"/>
                <w:lang w:val="ro-MD"/>
              </w:rPr>
              <w:t>CBTM</w:t>
            </w:r>
          </w:p>
          <w:p w14:paraId="1A4CE6DC"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(2026-2028)</w:t>
            </w:r>
          </w:p>
        </w:tc>
        <w:tc>
          <w:tcPr>
            <w:tcW w:w="1306" w:type="dxa"/>
            <w:gridSpan w:val="2"/>
            <w:tcMar>
              <w:top w:w="0" w:type="dxa"/>
              <w:left w:w="115" w:type="dxa"/>
              <w:bottom w:w="0" w:type="dxa"/>
              <w:right w:w="115" w:type="dxa"/>
            </w:tcMar>
            <w:vAlign w:val="center"/>
          </w:tcPr>
          <w:p w14:paraId="4B6FE5A9" w14:textId="77777777" w:rsidR="00446A20" w:rsidRPr="00312485" w:rsidRDefault="00985C08" w:rsidP="000E2A7E">
            <w:pPr>
              <w:spacing w:line="276" w:lineRule="auto"/>
              <w:ind w:firstLine="0"/>
              <w:jc w:val="center"/>
              <w:rPr>
                <w:b/>
                <w:bCs/>
                <w:color w:val="000000"/>
                <w:sz w:val="16"/>
                <w:shd w:val="clear" w:color="auto" w:fill="FFFFFF"/>
                <w:lang w:val="ro-MD"/>
              </w:rPr>
            </w:pPr>
            <w:r w:rsidRPr="00312485">
              <w:rPr>
                <w:b/>
                <w:bCs/>
                <w:color w:val="000000"/>
                <w:sz w:val="16"/>
                <w:shd w:val="clear" w:color="auto" w:fill="FFFFFF"/>
                <w:lang w:val="ro-MD"/>
              </w:rPr>
              <w:t xml:space="preserve">CBTM </w:t>
            </w:r>
          </w:p>
          <w:p w14:paraId="1341501B" w14:textId="39D56AD3"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(2025-2027)</w:t>
            </w:r>
          </w:p>
        </w:tc>
        <w:tc>
          <w:tcPr>
            <w:tcW w:w="1266" w:type="dxa"/>
            <w:gridSpan w:val="2"/>
            <w:vAlign w:val="center"/>
          </w:tcPr>
          <w:p w14:paraId="4BAAC88A" w14:textId="77777777" w:rsidR="00985C08" w:rsidRPr="00312485" w:rsidRDefault="00985C08" w:rsidP="000E2A7E">
            <w:pPr>
              <w:spacing w:line="276" w:lineRule="auto"/>
              <w:ind w:firstLine="0"/>
              <w:jc w:val="center"/>
              <w:rPr>
                <w:b/>
                <w:bCs/>
                <w:color w:val="000000"/>
                <w:sz w:val="16"/>
                <w:shd w:val="clear" w:color="auto" w:fill="FFFFFF"/>
                <w:lang w:val="ro-MD"/>
              </w:rPr>
            </w:pPr>
            <w:r w:rsidRPr="00312485">
              <w:rPr>
                <w:b/>
                <w:color w:val="000000"/>
                <w:sz w:val="16"/>
                <w:shd w:val="clear" w:color="auto" w:fill="FFFFFF"/>
                <w:lang w:val="ro-MD"/>
              </w:rPr>
              <w:t>CBTM</w:t>
            </w:r>
            <w:r w:rsidRPr="00312485">
              <w:rPr>
                <w:b/>
                <w:bCs/>
                <w:color w:val="000000"/>
                <w:sz w:val="16"/>
                <w:shd w:val="clear" w:color="auto" w:fill="FFFFFF"/>
                <w:lang w:val="ro-MD"/>
              </w:rPr>
              <w:t xml:space="preserve"> </w:t>
            </w:r>
          </w:p>
          <w:p w14:paraId="71DC40D4"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(2026-2028)</w:t>
            </w:r>
          </w:p>
        </w:tc>
      </w:tr>
      <w:tr w:rsidR="00985C08" w:rsidRPr="00312485" w14:paraId="63390991" w14:textId="77777777" w:rsidTr="000E2852">
        <w:trPr>
          <w:trHeight w:val="306"/>
          <w:tblHeader/>
          <w:jc w:val="center"/>
        </w:trPr>
        <w:tc>
          <w:tcPr>
            <w:tcW w:w="2751" w:type="dxa"/>
            <w:vMerge/>
            <w:vAlign w:val="center"/>
            <w:hideMark/>
          </w:tcPr>
          <w:p w14:paraId="5ECB1DDA" w14:textId="77777777" w:rsidR="00985C08" w:rsidRPr="00312485" w:rsidRDefault="00985C08" w:rsidP="000E2A7E">
            <w:pPr>
              <w:spacing w:line="276" w:lineRule="auto"/>
              <w:ind w:firstLine="0"/>
              <w:jc w:val="center"/>
              <w:rPr>
                <w:b/>
                <w:bCs/>
                <w:sz w:val="16"/>
                <w:lang w:val="ro-MD"/>
              </w:rPr>
            </w:pPr>
          </w:p>
        </w:tc>
        <w:tc>
          <w:tcPr>
            <w:tcW w:w="0" w:type="auto"/>
            <w:tcMar>
              <w:top w:w="0" w:type="dxa"/>
              <w:left w:w="115" w:type="dxa"/>
              <w:bottom w:w="0" w:type="dxa"/>
              <w:right w:w="115" w:type="dxa"/>
            </w:tcMar>
            <w:vAlign w:val="center"/>
            <w:hideMark/>
          </w:tcPr>
          <w:p w14:paraId="314510F5"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w:t>
            </w:r>
          </w:p>
        </w:tc>
        <w:tc>
          <w:tcPr>
            <w:tcW w:w="0" w:type="auto"/>
            <w:tcMar>
              <w:top w:w="0" w:type="dxa"/>
              <w:left w:w="115" w:type="dxa"/>
              <w:bottom w:w="0" w:type="dxa"/>
              <w:right w:w="115" w:type="dxa"/>
            </w:tcMar>
            <w:vAlign w:val="center"/>
            <w:hideMark/>
          </w:tcPr>
          <w:p w14:paraId="41A85BE6"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2027</w:t>
            </w:r>
          </w:p>
        </w:tc>
        <w:tc>
          <w:tcPr>
            <w:tcW w:w="0" w:type="auto"/>
            <w:tcMar>
              <w:top w:w="0" w:type="dxa"/>
              <w:left w:w="115" w:type="dxa"/>
              <w:bottom w:w="0" w:type="dxa"/>
              <w:right w:w="115" w:type="dxa"/>
            </w:tcMar>
            <w:vAlign w:val="center"/>
            <w:hideMark/>
          </w:tcPr>
          <w:p w14:paraId="72DA58AC"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w:t>
            </w:r>
          </w:p>
        </w:tc>
        <w:tc>
          <w:tcPr>
            <w:tcW w:w="0" w:type="auto"/>
            <w:tcMar>
              <w:top w:w="0" w:type="dxa"/>
              <w:left w:w="115" w:type="dxa"/>
              <w:bottom w:w="0" w:type="dxa"/>
              <w:right w:w="115" w:type="dxa"/>
            </w:tcMar>
            <w:vAlign w:val="center"/>
            <w:hideMark/>
          </w:tcPr>
          <w:p w14:paraId="3D88C1AF"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2027</w:t>
            </w:r>
          </w:p>
        </w:tc>
        <w:tc>
          <w:tcPr>
            <w:tcW w:w="0" w:type="auto"/>
            <w:tcMar>
              <w:top w:w="0" w:type="dxa"/>
              <w:left w:w="115" w:type="dxa"/>
              <w:bottom w:w="0" w:type="dxa"/>
              <w:right w:w="115" w:type="dxa"/>
            </w:tcMar>
            <w:vAlign w:val="center"/>
          </w:tcPr>
          <w:p w14:paraId="427B3283"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w:t>
            </w:r>
          </w:p>
        </w:tc>
        <w:tc>
          <w:tcPr>
            <w:tcW w:w="0" w:type="auto"/>
            <w:tcMar>
              <w:top w:w="0" w:type="dxa"/>
              <w:left w:w="115" w:type="dxa"/>
              <w:bottom w:w="0" w:type="dxa"/>
              <w:right w:w="115" w:type="dxa"/>
            </w:tcMar>
            <w:vAlign w:val="center"/>
          </w:tcPr>
          <w:p w14:paraId="0B4DA090"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2027</w:t>
            </w:r>
          </w:p>
        </w:tc>
        <w:tc>
          <w:tcPr>
            <w:tcW w:w="0" w:type="auto"/>
            <w:tcMar>
              <w:top w:w="0" w:type="dxa"/>
              <w:left w:w="115" w:type="dxa"/>
              <w:bottom w:w="0" w:type="dxa"/>
              <w:right w:w="115" w:type="dxa"/>
            </w:tcMar>
            <w:vAlign w:val="center"/>
          </w:tcPr>
          <w:p w14:paraId="3C15670A"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2026</w:t>
            </w:r>
          </w:p>
        </w:tc>
        <w:tc>
          <w:tcPr>
            <w:tcW w:w="677" w:type="dxa"/>
            <w:tcMar>
              <w:top w:w="0" w:type="dxa"/>
              <w:left w:w="115" w:type="dxa"/>
              <w:bottom w:w="0" w:type="dxa"/>
              <w:right w:w="115" w:type="dxa"/>
            </w:tcMar>
            <w:vAlign w:val="center"/>
          </w:tcPr>
          <w:p w14:paraId="1C1EC35A"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2027</w:t>
            </w:r>
          </w:p>
        </w:tc>
      </w:tr>
      <w:tr w:rsidR="00985C08" w:rsidRPr="00312485" w14:paraId="0360C96E" w14:textId="77777777" w:rsidTr="000E2852">
        <w:trPr>
          <w:trHeight w:val="197"/>
          <w:tblHeader/>
          <w:jc w:val="center"/>
        </w:trPr>
        <w:tc>
          <w:tcPr>
            <w:tcW w:w="2751" w:type="dxa"/>
            <w:vMerge/>
            <w:tcMar>
              <w:top w:w="0" w:type="dxa"/>
              <w:left w:w="115" w:type="dxa"/>
              <w:bottom w:w="0" w:type="dxa"/>
              <w:right w:w="115" w:type="dxa"/>
            </w:tcMar>
            <w:vAlign w:val="center"/>
          </w:tcPr>
          <w:p w14:paraId="1E30F085" w14:textId="77777777" w:rsidR="00985C08" w:rsidRPr="00312485" w:rsidRDefault="00985C08" w:rsidP="000E2A7E">
            <w:pPr>
              <w:spacing w:line="276" w:lineRule="auto"/>
              <w:ind w:firstLine="0"/>
              <w:jc w:val="center"/>
              <w:rPr>
                <w:b/>
                <w:bCs/>
                <w:color w:val="000000"/>
                <w:sz w:val="16"/>
                <w:shd w:val="clear" w:color="auto" w:fill="FFFFFF"/>
                <w:lang w:val="ro-MD"/>
              </w:rPr>
            </w:pPr>
          </w:p>
        </w:tc>
        <w:tc>
          <w:tcPr>
            <w:tcW w:w="0" w:type="auto"/>
            <w:gridSpan w:val="4"/>
            <w:tcMar>
              <w:top w:w="0" w:type="dxa"/>
              <w:left w:w="115" w:type="dxa"/>
              <w:bottom w:w="0" w:type="dxa"/>
              <w:right w:w="115" w:type="dxa"/>
            </w:tcMar>
            <w:vAlign w:val="center"/>
          </w:tcPr>
          <w:p w14:paraId="5687E6EC"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mil. lei</w:t>
            </w:r>
          </w:p>
        </w:tc>
        <w:tc>
          <w:tcPr>
            <w:tcW w:w="2572" w:type="dxa"/>
            <w:gridSpan w:val="4"/>
            <w:tcMar>
              <w:top w:w="0" w:type="dxa"/>
              <w:left w:w="115" w:type="dxa"/>
              <w:bottom w:w="0" w:type="dxa"/>
              <w:right w:w="115" w:type="dxa"/>
            </w:tcMar>
            <w:vAlign w:val="center"/>
          </w:tcPr>
          <w:p w14:paraId="36B2C5F3" w14:textId="77777777" w:rsidR="00985C08" w:rsidRPr="00312485" w:rsidRDefault="00985C08" w:rsidP="000E2A7E">
            <w:pPr>
              <w:spacing w:line="276" w:lineRule="auto"/>
              <w:ind w:firstLine="0"/>
              <w:jc w:val="center"/>
              <w:rPr>
                <w:b/>
                <w:bCs/>
                <w:sz w:val="16"/>
                <w:lang w:val="ro-MD"/>
              </w:rPr>
            </w:pPr>
            <w:r w:rsidRPr="00312485">
              <w:rPr>
                <w:b/>
                <w:bCs/>
                <w:color w:val="000000"/>
                <w:sz w:val="16"/>
                <w:shd w:val="clear" w:color="auto" w:fill="FFFFFF"/>
                <w:lang w:val="ro-MD"/>
              </w:rPr>
              <w:t>% în PIB</w:t>
            </w:r>
          </w:p>
        </w:tc>
      </w:tr>
      <w:tr w:rsidR="00985C08" w:rsidRPr="00312485" w14:paraId="31714490" w14:textId="77777777" w:rsidTr="007A2C7B">
        <w:trPr>
          <w:trHeight w:val="366"/>
          <w:jc w:val="center"/>
        </w:trPr>
        <w:tc>
          <w:tcPr>
            <w:tcW w:w="2751" w:type="dxa"/>
            <w:shd w:val="clear" w:color="auto" w:fill="auto"/>
            <w:tcMar>
              <w:top w:w="0" w:type="dxa"/>
              <w:left w:w="115" w:type="dxa"/>
              <w:bottom w:w="0" w:type="dxa"/>
              <w:right w:w="115" w:type="dxa"/>
            </w:tcMar>
            <w:vAlign w:val="center"/>
            <w:hideMark/>
          </w:tcPr>
          <w:p w14:paraId="331C45BF" w14:textId="77777777" w:rsidR="00985C08" w:rsidRPr="00312485" w:rsidRDefault="00985C08" w:rsidP="00F80C42">
            <w:pPr>
              <w:spacing w:line="276" w:lineRule="auto"/>
              <w:ind w:firstLine="0"/>
              <w:jc w:val="left"/>
              <w:rPr>
                <w:rFonts w:eastAsiaTheme="minorHAnsi"/>
                <w:b/>
                <w:bCs/>
                <w:color w:val="000000"/>
                <w:sz w:val="16"/>
                <w:lang w:val="ro-MD" w:eastAsia="en-GB"/>
              </w:rPr>
            </w:pPr>
            <w:r w:rsidRPr="00312485">
              <w:rPr>
                <w:rFonts w:eastAsiaTheme="minorHAnsi"/>
                <w:b/>
                <w:bCs/>
                <w:color w:val="000000"/>
                <w:sz w:val="16"/>
                <w:lang w:val="ro-MD" w:eastAsia="en-GB"/>
              </w:rPr>
              <w:t xml:space="preserve">Total Soldul datoriei </w:t>
            </w:r>
          </w:p>
          <w:p w14:paraId="5EAC807C" w14:textId="77777777" w:rsidR="00985C08" w:rsidRPr="00312485" w:rsidRDefault="00985C08" w:rsidP="00F80C42">
            <w:pPr>
              <w:spacing w:line="276" w:lineRule="auto"/>
              <w:ind w:firstLine="0"/>
              <w:jc w:val="left"/>
              <w:rPr>
                <w:rFonts w:eastAsiaTheme="minorHAnsi"/>
                <w:b/>
                <w:sz w:val="16"/>
                <w:lang w:val="ro-MD"/>
              </w:rPr>
            </w:pPr>
            <w:r w:rsidRPr="00312485">
              <w:rPr>
                <w:rFonts w:eastAsiaTheme="minorHAnsi"/>
                <w:b/>
                <w:bCs/>
                <w:color w:val="000000"/>
                <w:sz w:val="16"/>
                <w:lang w:val="ro-MD" w:eastAsia="en-GB"/>
              </w:rPr>
              <w:t>(la sfârșitul anului de gestiune)</w:t>
            </w:r>
          </w:p>
        </w:tc>
        <w:tc>
          <w:tcPr>
            <w:tcW w:w="0" w:type="auto"/>
            <w:tcMar>
              <w:top w:w="0" w:type="dxa"/>
              <w:left w:w="115" w:type="dxa"/>
              <w:bottom w:w="0" w:type="dxa"/>
              <w:right w:w="115" w:type="dxa"/>
            </w:tcMar>
            <w:vAlign w:val="center"/>
          </w:tcPr>
          <w:p w14:paraId="1AC9F58F" w14:textId="04355413" w:rsidR="00985C08" w:rsidRPr="00312485" w:rsidRDefault="00985C08" w:rsidP="00F80C42">
            <w:pPr>
              <w:spacing w:line="276" w:lineRule="auto"/>
              <w:ind w:firstLine="0"/>
              <w:jc w:val="center"/>
              <w:rPr>
                <w:rFonts w:eastAsiaTheme="minorHAnsi"/>
                <w:b/>
                <w:bCs/>
                <w:color w:val="000000"/>
                <w:sz w:val="16"/>
                <w:lang w:val="ro-MD" w:eastAsia="en-GB"/>
              </w:rPr>
            </w:pPr>
            <w:r w:rsidRPr="00312485">
              <w:rPr>
                <w:rFonts w:eastAsiaTheme="minorHAnsi"/>
                <w:b/>
                <w:bCs/>
                <w:color w:val="000000"/>
                <w:sz w:val="16"/>
                <w:lang w:val="ro-MD" w:eastAsia="en-GB"/>
              </w:rPr>
              <w:t>152</w:t>
            </w:r>
            <w:r w:rsidR="00000106" w:rsidRPr="00312485">
              <w:rPr>
                <w:rFonts w:eastAsiaTheme="minorHAnsi"/>
                <w:b/>
                <w:bCs/>
                <w:color w:val="000000"/>
                <w:sz w:val="16"/>
                <w:lang w:val="ro-MD" w:eastAsia="en-GB"/>
              </w:rPr>
              <w:t xml:space="preserve"> </w:t>
            </w:r>
            <w:r w:rsidRPr="00312485">
              <w:rPr>
                <w:rFonts w:eastAsiaTheme="minorHAnsi"/>
                <w:b/>
                <w:bCs/>
                <w:color w:val="000000"/>
                <w:sz w:val="16"/>
                <w:lang w:val="ro-MD" w:eastAsia="en-GB"/>
              </w:rPr>
              <w:t>846.8</w:t>
            </w:r>
          </w:p>
        </w:tc>
        <w:tc>
          <w:tcPr>
            <w:tcW w:w="0" w:type="auto"/>
            <w:tcMar>
              <w:top w:w="0" w:type="dxa"/>
              <w:left w:w="115" w:type="dxa"/>
              <w:bottom w:w="0" w:type="dxa"/>
              <w:right w:w="115" w:type="dxa"/>
            </w:tcMar>
            <w:vAlign w:val="center"/>
          </w:tcPr>
          <w:p w14:paraId="50DE20A0" w14:textId="4FF63131" w:rsidR="00985C08" w:rsidRPr="00312485" w:rsidRDefault="00985C08" w:rsidP="00F80C42">
            <w:pPr>
              <w:spacing w:line="276" w:lineRule="auto"/>
              <w:ind w:firstLine="0"/>
              <w:jc w:val="center"/>
              <w:rPr>
                <w:rFonts w:eastAsiaTheme="minorHAnsi"/>
                <w:b/>
                <w:bCs/>
                <w:color w:val="000000"/>
                <w:sz w:val="16"/>
                <w:lang w:val="ro-MD" w:eastAsia="en-GB"/>
              </w:rPr>
            </w:pPr>
            <w:r w:rsidRPr="00312485">
              <w:rPr>
                <w:rFonts w:eastAsiaTheme="minorHAnsi"/>
                <w:b/>
                <w:bCs/>
                <w:color w:val="000000"/>
                <w:sz w:val="16"/>
                <w:lang w:val="ro-MD" w:eastAsia="en-GB"/>
              </w:rPr>
              <w:t>164</w:t>
            </w:r>
            <w:r w:rsidR="00000106" w:rsidRPr="00312485">
              <w:rPr>
                <w:rFonts w:eastAsiaTheme="minorHAnsi"/>
                <w:b/>
                <w:bCs/>
                <w:color w:val="000000"/>
                <w:sz w:val="16"/>
                <w:lang w:val="ro-MD" w:eastAsia="en-GB"/>
              </w:rPr>
              <w:t xml:space="preserve"> </w:t>
            </w:r>
            <w:r w:rsidRPr="00312485">
              <w:rPr>
                <w:rFonts w:eastAsiaTheme="minorHAnsi"/>
                <w:b/>
                <w:bCs/>
                <w:color w:val="000000"/>
                <w:sz w:val="16"/>
                <w:lang w:val="ro-MD" w:eastAsia="en-GB"/>
              </w:rPr>
              <w:t>207.8</w:t>
            </w:r>
          </w:p>
        </w:tc>
        <w:tc>
          <w:tcPr>
            <w:tcW w:w="0" w:type="auto"/>
            <w:shd w:val="clear" w:color="auto" w:fill="auto"/>
            <w:tcMar>
              <w:top w:w="0" w:type="dxa"/>
              <w:left w:w="115" w:type="dxa"/>
              <w:bottom w:w="0" w:type="dxa"/>
              <w:right w:w="115" w:type="dxa"/>
            </w:tcMar>
            <w:vAlign w:val="center"/>
          </w:tcPr>
          <w:p w14:paraId="7496845F" w14:textId="27F813C0"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160</w:t>
            </w:r>
            <w:r w:rsidR="00D0082F" w:rsidRPr="00312485">
              <w:rPr>
                <w:rFonts w:eastAsiaTheme="minorHAnsi"/>
                <w:b/>
                <w:bCs/>
                <w:color w:val="000000"/>
                <w:sz w:val="16"/>
                <w:lang w:val="ro-MD"/>
              </w:rPr>
              <w:t xml:space="preserve"> </w:t>
            </w:r>
            <w:r w:rsidRPr="00312485">
              <w:rPr>
                <w:rFonts w:eastAsiaTheme="minorHAnsi"/>
                <w:b/>
                <w:bCs/>
                <w:color w:val="000000"/>
                <w:sz w:val="16"/>
                <w:lang w:val="ro-MD"/>
              </w:rPr>
              <w:t>974.0</w:t>
            </w:r>
          </w:p>
        </w:tc>
        <w:tc>
          <w:tcPr>
            <w:tcW w:w="0" w:type="auto"/>
            <w:shd w:val="clear" w:color="auto" w:fill="auto"/>
            <w:tcMar>
              <w:top w:w="0" w:type="dxa"/>
              <w:left w:w="115" w:type="dxa"/>
              <w:bottom w:w="0" w:type="dxa"/>
              <w:right w:w="115" w:type="dxa"/>
            </w:tcMar>
            <w:vAlign w:val="center"/>
          </w:tcPr>
          <w:p w14:paraId="4D612014" w14:textId="1967E08C"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185</w:t>
            </w:r>
            <w:r w:rsidR="00D0082F" w:rsidRPr="00312485">
              <w:rPr>
                <w:rFonts w:eastAsiaTheme="minorHAnsi"/>
                <w:b/>
                <w:bCs/>
                <w:color w:val="000000"/>
                <w:sz w:val="16"/>
                <w:lang w:val="ro-MD"/>
              </w:rPr>
              <w:t xml:space="preserve"> </w:t>
            </w:r>
            <w:r w:rsidRPr="00312485">
              <w:rPr>
                <w:rFonts w:eastAsiaTheme="minorHAnsi"/>
                <w:b/>
                <w:bCs/>
                <w:color w:val="000000"/>
                <w:sz w:val="16"/>
                <w:lang w:val="ro-MD"/>
              </w:rPr>
              <w:t>139.9</w:t>
            </w:r>
          </w:p>
        </w:tc>
        <w:tc>
          <w:tcPr>
            <w:tcW w:w="0" w:type="auto"/>
            <w:shd w:val="clear" w:color="auto" w:fill="auto"/>
            <w:tcMar>
              <w:top w:w="0" w:type="dxa"/>
              <w:left w:w="115" w:type="dxa"/>
              <w:bottom w:w="0" w:type="dxa"/>
              <w:right w:w="115" w:type="dxa"/>
            </w:tcMar>
            <w:vAlign w:val="center"/>
          </w:tcPr>
          <w:p w14:paraId="22188AF1" w14:textId="77777777" w:rsidR="00985C08" w:rsidRPr="00312485" w:rsidRDefault="00985C08" w:rsidP="00F80C42">
            <w:pPr>
              <w:spacing w:line="276" w:lineRule="auto"/>
              <w:ind w:firstLine="0"/>
              <w:jc w:val="center"/>
              <w:rPr>
                <w:rFonts w:eastAsiaTheme="minorHAnsi"/>
                <w:b/>
                <w:bCs/>
                <w:color w:val="000000"/>
                <w:sz w:val="16"/>
                <w:lang w:val="ro-MD" w:eastAsia="ro-RO"/>
              </w:rPr>
            </w:pPr>
            <w:r w:rsidRPr="00312485">
              <w:rPr>
                <w:rFonts w:eastAsiaTheme="minorHAnsi"/>
                <w:b/>
                <w:bCs/>
                <w:color w:val="000000"/>
                <w:sz w:val="16"/>
                <w:lang w:val="ro-MD" w:eastAsia="ro-RO"/>
              </w:rPr>
              <w:t>38.9</w:t>
            </w:r>
          </w:p>
        </w:tc>
        <w:tc>
          <w:tcPr>
            <w:tcW w:w="0" w:type="auto"/>
            <w:shd w:val="clear" w:color="auto" w:fill="auto"/>
            <w:tcMar>
              <w:top w:w="0" w:type="dxa"/>
              <w:left w:w="115" w:type="dxa"/>
              <w:bottom w:w="0" w:type="dxa"/>
              <w:right w:w="115" w:type="dxa"/>
            </w:tcMar>
            <w:vAlign w:val="center"/>
          </w:tcPr>
          <w:p w14:paraId="2296F3B4" w14:textId="77777777" w:rsidR="00985C08" w:rsidRPr="00312485" w:rsidRDefault="00985C08" w:rsidP="00F80C42">
            <w:pPr>
              <w:spacing w:line="276" w:lineRule="auto"/>
              <w:ind w:firstLine="0"/>
              <w:jc w:val="center"/>
              <w:rPr>
                <w:rFonts w:eastAsiaTheme="minorHAnsi"/>
                <w:b/>
                <w:bCs/>
                <w:color w:val="000000"/>
                <w:sz w:val="16"/>
                <w:lang w:val="ro-MD" w:eastAsia="ro-RO"/>
              </w:rPr>
            </w:pPr>
            <w:r w:rsidRPr="00312485">
              <w:rPr>
                <w:rFonts w:eastAsiaTheme="minorHAnsi"/>
                <w:b/>
                <w:bCs/>
                <w:color w:val="000000"/>
                <w:sz w:val="16"/>
                <w:lang w:val="ro-MD" w:eastAsia="ro-RO"/>
              </w:rPr>
              <w:t>38.3</w:t>
            </w:r>
          </w:p>
        </w:tc>
        <w:tc>
          <w:tcPr>
            <w:tcW w:w="0" w:type="auto"/>
            <w:shd w:val="clear" w:color="auto" w:fill="auto"/>
            <w:tcMar>
              <w:top w:w="0" w:type="dxa"/>
              <w:left w:w="115" w:type="dxa"/>
              <w:bottom w:w="0" w:type="dxa"/>
              <w:right w:w="115" w:type="dxa"/>
            </w:tcMar>
            <w:vAlign w:val="center"/>
          </w:tcPr>
          <w:p w14:paraId="1410040E" w14:textId="77777777"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42.3</w:t>
            </w:r>
          </w:p>
        </w:tc>
        <w:tc>
          <w:tcPr>
            <w:tcW w:w="677" w:type="dxa"/>
            <w:shd w:val="clear" w:color="auto" w:fill="auto"/>
            <w:tcMar>
              <w:top w:w="0" w:type="dxa"/>
              <w:left w:w="115" w:type="dxa"/>
              <w:bottom w:w="0" w:type="dxa"/>
              <w:right w:w="115" w:type="dxa"/>
            </w:tcMar>
            <w:vAlign w:val="center"/>
          </w:tcPr>
          <w:p w14:paraId="45784163" w14:textId="77777777"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45.0</w:t>
            </w:r>
          </w:p>
        </w:tc>
      </w:tr>
      <w:tr w:rsidR="00985C08" w:rsidRPr="00312485" w14:paraId="34432DA8" w14:textId="77777777" w:rsidTr="007A2C7B">
        <w:trPr>
          <w:jc w:val="center"/>
        </w:trPr>
        <w:tc>
          <w:tcPr>
            <w:tcW w:w="2751" w:type="dxa"/>
            <w:tcMar>
              <w:top w:w="0" w:type="dxa"/>
              <w:left w:w="115" w:type="dxa"/>
              <w:bottom w:w="0" w:type="dxa"/>
              <w:right w:w="115" w:type="dxa"/>
            </w:tcMar>
            <w:vAlign w:val="center"/>
            <w:hideMark/>
          </w:tcPr>
          <w:p w14:paraId="61601ABB"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Datoria  externă</w:t>
            </w:r>
          </w:p>
        </w:tc>
        <w:tc>
          <w:tcPr>
            <w:tcW w:w="0" w:type="auto"/>
            <w:tcMar>
              <w:top w:w="0" w:type="dxa"/>
              <w:left w:w="115" w:type="dxa"/>
              <w:bottom w:w="0" w:type="dxa"/>
              <w:right w:w="115" w:type="dxa"/>
            </w:tcMar>
            <w:vAlign w:val="center"/>
          </w:tcPr>
          <w:p w14:paraId="3EEE70A5" w14:textId="78B96EE4" w:rsidR="00985C08" w:rsidRPr="00312485" w:rsidRDefault="00985C08" w:rsidP="00F80C42">
            <w:pPr>
              <w:spacing w:line="276" w:lineRule="auto"/>
              <w:ind w:firstLine="0"/>
              <w:jc w:val="center"/>
              <w:rPr>
                <w:rFonts w:eastAsiaTheme="minorHAnsi"/>
                <w:color w:val="000000"/>
                <w:sz w:val="16"/>
                <w:lang w:val="ro-MD" w:eastAsia="en-GB"/>
              </w:rPr>
            </w:pPr>
            <w:r w:rsidRPr="00312485">
              <w:rPr>
                <w:rFonts w:eastAsiaTheme="minorHAnsi"/>
                <w:color w:val="000000"/>
                <w:sz w:val="16"/>
                <w:lang w:val="ro-MD" w:eastAsia="en-GB"/>
              </w:rPr>
              <w:t>87</w:t>
            </w:r>
            <w:r w:rsidR="00000106" w:rsidRPr="00312485">
              <w:rPr>
                <w:rFonts w:eastAsiaTheme="minorHAnsi"/>
                <w:color w:val="000000"/>
                <w:sz w:val="16"/>
                <w:lang w:val="ro-MD" w:eastAsia="en-GB"/>
              </w:rPr>
              <w:t xml:space="preserve"> </w:t>
            </w:r>
            <w:r w:rsidRPr="00312485">
              <w:rPr>
                <w:rFonts w:eastAsiaTheme="minorHAnsi"/>
                <w:color w:val="000000"/>
                <w:sz w:val="16"/>
                <w:lang w:val="ro-MD" w:eastAsia="en-GB"/>
              </w:rPr>
              <w:t>141.1</w:t>
            </w:r>
          </w:p>
        </w:tc>
        <w:tc>
          <w:tcPr>
            <w:tcW w:w="0" w:type="auto"/>
            <w:tcMar>
              <w:top w:w="0" w:type="dxa"/>
              <w:left w:w="115" w:type="dxa"/>
              <w:bottom w:w="0" w:type="dxa"/>
              <w:right w:w="115" w:type="dxa"/>
            </w:tcMar>
            <w:vAlign w:val="center"/>
          </w:tcPr>
          <w:p w14:paraId="5C643551" w14:textId="30ADF2E4" w:rsidR="00985C08" w:rsidRPr="00312485" w:rsidRDefault="00985C08" w:rsidP="00F80C42">
            <w:pPr>
              <w:spacing w:line="276" w:lineRule="auto"/>
              <w:ind w:firstLine="0"/>
              <w:jc w:val="center"/>
              <w:rPr>
                <w:rFonts w:eastAsiaTheme="minorHAnsi"/>
                <w:color w:val="000000"/>
                <w:sz w:val="16"/>
                <w:lang w:val="ro-MD" w:eastAsia="en-GB"/>
              </w:rPr>
            </w:pPr>
            <w:r w:rsidRPr="00312485">
              <w:rPr>
                <w:rFonts w:eastAsiaTheme="minorHAnsi"/>
                <w:color w:val="000000"/>
                <w:sz w:val="16"/>
                <w:lang w:val="ro-MD" w:eastAsia="en-GB"/>
              </w:rPr>
              <w:t>88</w:t>
            </w:r>
            <w:r w:rsidR="00000106" w:rsidRPr="00312485">
              <w:rPr>
                <w:rFonts w:eastAsiaTheme="minorHAnsi"/>
                <w:color w:val="000000"/>
                <w:sz w:val="16"/>
                <w:lang w:val="ro-MD" w:eastAsia="en-GB"/>
              </w:rPr>
              <w:t xml:space="preserve"> </w:t>
            </w:r>
            <w:r w:rsidRPr="00312485">
              <w:rPr>
                <w:rFonts w:eastAsiaTheme="minorHAnsi"/>
                <w:color w:val="000000"/>
                <w:sz w:val="16"/>
                <w:lang w:val="ro-MD" w:eastAsia="en-GB"/>
              </w:rPr>
              <w:t>581.5</w:t>
            </w:r>
          </w:p>
        </w:tc>
        <w:tc>
          <w:tcPr>
            <w:tcW w:w="0" w:type="auto"/>
            <w:shd w:val="clear" w:color="auto" w:fill="auto"/>
            <w:tcMar>
              <w:top w:w="0" w:type="dxa"/>
              <w:left w:w="115" w:type="dxa"/>
              <w:bottom w:w="0" w:type="dxa"/>
              <w:right w:w="115" w:type="dxa"/>
            </w:tcMar>
            <w:vAlign w:val="center"/>
          </w:tcPr>
          <w:p w14:paraId="0B5E5A4B" w14:textId="4A402532"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99</w:t>
            </w:r>
            <w:r w:rsidR="00000106" w:rsidRPr="00312485">
              <w:rPr>
                <w:rFonts w:eastAsiaTheme="minorHAnsi"/>
                <w:color w:val="000000"/>
                <w:sz w:val="16"/>
                <w:lang w:val="ro-MD"/>
              </w:rPr>
              <w:t xml:space="preserve"> </w:t>
            </w:r>
            <w:r w:rsidRPr="00312485">
              <w:rPr>
                <w:rFonts w:eastAsiaTheme="minorHAnsi"/>
                <w:color w:val="000000"/>
                <w:sz w:val="16"/>
                <w:lang w:val="ro-MD"/>
              </w:rPr>
              <w:t>857.2</w:t>
            </w:r>
          </w:p>
        </w:tc>
        <w:tc>
          <w:tcPr>
            <w:tcW w:w="0" w:type="auto"/>
            <w:shd w:val="clear" w:color="auto" w:fill="auto"/>
            <w:tcMar>
              <w:top w:w="0" w:type="dxa"/>
              <w:left w:w="115" w:type="dxa"/>
              <w:bottom w:w="0" w:type="dxa"/>
              <w:right w:w="115" w:type="dxa"/>
            </w:tcMar>
            <w:vAlign w:val="center"/>
          </w:tcPr>
          <w:p w14:paraId="3DBA9802" w14:textId="38037C6D"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114</w:t>
            </w:r>
            <w:r w:rsidR="00000106" w:rsidRPr="00312485">
              <w:rPr>
                <w:rFonts w:eastAsiaTheme="minorHAnsi"/>
                <w:color w:val="000000"/>
                <w:sz w:val="16"/>
                <w:lang w:val="ro-MD"/>
              </w:rPr>
              <w:t xml:space="preserve"> </w:t>
            </w:r>
            <w:r w:rsidRPr="00312485">
              <w:rPr>
                <w:rFonts w:eastAsiaTheme="minorHAnsi"/>
                <w:color w:val="000000"/>
                <w:sz w:val="16"/>
                <w:lang w:val="ro-MD"/>
              </w:rPr>
              <w:t>673.6</w:t>
            </w:r>
          </w:p>
        </w:tc>
        <w:tc>
          <w:tcPr>
            <w:tcW w:w="0" w:type="auto"/>
            <w:shd w:val="clear" w:color="auto" w:fill="auto"/>
            <w:tcMar>
              <w:top w:w="0" w:type="dxa"/>
              <w:left w:w="115" w:type="dxa"/>
              <w:bottom w:w="0" w:type="dxa"/>
              <w:right w:w="115" w:type="dxa"/>
            </w:tcMar>
            <w:vAlign w:val="center"/>
          </w:tcPr>
          <w:p w14:paraId="3A665760"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22.2</w:t>
            </w:r>
          </w:p>
        </w:tc>
        <w:tc>
          <w:tcPr>
            <w:tcW w:w="0" w:type="auto"/>
            <w:shd w:val="clear" w:color="auto" w:fill="auto"/>
            <w:tcMar>
              <w:top w:w="0" w:type="dxa"/>
              <w:left w:w="115" w:type="dxa"/>
              <w:bottom w:w="0" w:type="dxa"/>
              <w:right w:w="115" w:type="dxa"/>
            </w:tcMar>
            <w:vAlign w:val="center"/>
          </w:tcPr>
          <w:p w14:paraId="0332BEC4"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20.7</w:t>
            </w:r>
          </w:p>
        </w:tc>
        <w:tc>
          <w:tcPr>
            <w:tcW w:w="0" w:type="auto"/>
            <w:shd w:val="clear" w:color="auto" w:fill="auto"/>
            <w:tcMar>
              <w:top w:w="0" w:type="dxa"/>
              <w:left w:w="115" w:type="dxa"/>
              <w:bottom w:w="0" w:type="dxa"/>
              <w:right w:w="115" w:type="dxa"/>
            </w:tcMar>
            <w:vAlign w:val="center"/>
          </w:tcPr>
          <w:p w14:paraId="4CCD2438" w14:textId="77777777"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26.2</w:t>
            </w:r>
          </w:p>
        </w:tc>
        <w:tc>
          <w:tcPr>
            <w:tcW w:w="677" w:type="dxa"/>
            <w:shd w:val="clear" w:color="auto" w:fill="auto"/>
            <w:tcMar>
              <w:top w:w="0" w:type="dxa"/>
              <w:left w:w="115" w:type="dxa"/>
              <w:bottom w:w="0" w:type="dxa"/>
              <w:right w:w="115" w:type="dxa"/>
            </w:tcMar>
            <w:vAlign w:val="center"/>
          </w:tcPr>
          <w:p w14:paraId="74F348F7" w14:textId="77777777"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27.9</w:t>
            </w:r>
          </w:p>
        </w:tc>
      </w:tr>
      <w:tr w:rsidR="00985C08" w:rsidRPr="00312485" w14:paraId="4B20C508" w14:textId="77777777" w:rsidTr="007A2C7B">
        <w:trPr>
          <w:jc w:val="center"/>
        </w:trPr>
        <w:tc>
          <w:tcPr>
            <w:tcW w:w="2751" w:type="dxa"/>
            <w:tcMar>
              <w:top w:w="0" w:type="dxa"/>
              <w:left w:w="115" w:type="dxa"/>
              <w:bottom w:w="0" w:type="dxa"/>
              <w:right w:w="115" w:type="dxa"/>
            </w:tcMar>
            <w:vAlign w:val="center"/>
            <w:hideMark/>
          </w:tcPr>
          <w:p w14:paraId="103B5EAD"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Datoria internă</w:t>
            </w:r>
          </w:p>
        </w:tc>
        <w:tc>
          <w:tcPr>
            <w:tcW w:w="0" w:type="auto"/>
            <w:tcMar>
              <w:top w:w="0" w:type="dxa"/>
              <w:left w:w="115" w:type="dxa"/>
              <w:bottom w:w="0" w:type="dxa"/>
              <w:right w:w="115" w:type="dxa"/>
            </w:tcMar>
            <w:vAlign w:val="center"/>
          </w:tcPr>
          <w:p w14:paraId="50ABC1C1" w14:textId="302E55EE"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65</w:t>
            </w:r>
            <w:r w:rsidR="00000106" w:rsidRPr="00312485">
              <w:rPr>
                <w:rFonts w:eastAsiaTheme="minorHAnsi"/>
                <w:sz w:val="16"/>
                <w:lang w:val="ro-MD" w:eastAsia="en-GB"/>
              </w:rPr>
              <w:t xml:space="preserve"> </w:t>
            </w:r>
            <w:r w:rsidRPr="00312485">
              <w:rPr>
                <w:rFonts w:eastAsiaTheme="minorHAnsi"/>
                <w:sz w:val="16"/>
                <w:lang w:val="ro-MD" w:eastAsia="en-GB"/>
              </w:rPr>
              <w:t>705.7</w:t>
            </w:r>
          </w:p>
        </w:tc>
        <w:tc>
          <w:tcPr>
            <w:tcW w:w="0" w:type="auto"/>
            <w:tcMar>
              <w:top w:w="0" w:type="dxa"/>
              <w:left w:w="115" w:type="dxa"/>
              <w:bottom w:w="0" w:type="dxa"/>
              <w:right w:w="115" w:type="dxa"/>
            </w:tcMar>
            <w:vAlign w:val="center"/>
          </w:tcPr>
          <w:p w14:paraId="6834D7B6" w14:textId="08999ED2"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75</w:t>
            </w:r>
            <w:r w:rsidR="00000106" w:rsidRPr="00312485">
              <w:rPr>
                <w:rFonts w:eastAsiaTheme="minorHAnsi"/>
                <w:sz w:val="16"/>
                <w:lang w:val="ro-MD" w:eastAsia="en-GB"/>
              </w:rPr>
              <w:t xml:space="preserve"> </w:t>
            </w:r>
            <w:r w:rsidRPr="00312485">
              <w:rPr>
                <w:rFonts w:eastAsiaTheme="minorHAnsi"/>
                <w:sz w:val="16"/>
                <w:lang w:val="ro-MD" w:eastAsia="en-GB"/>
              </w:rPr>
              <w:t>626.3</w:t>
            </w:r>
          </w:p>
        </w:tc>
        <w:tc>
          <w:tcPr>
            <w:tcW w:w="0" w:type="auto"/>
            <w:shd w:val="clear" w:color="auto" w:fill="auto"/>
            <w:tcMar>
              <w:top w:w="0" w:type="dxa"/>
              <w:left w:w="115" w:type="dxa"/>
              <w:bottom w:w="0" w:type="dxa"/>
              <w:right w:w="115" w:type="dxa"/>
            </w:tcMar>
            <w:vAlign w:val="center"/>
          </w:tcPr>
          <w:p w14:paraId="4E444FB6" w14:textId="76444E0C"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61</w:t>
            </w:r>
            <w:r w:rsidR="00000106" w:rsidRPr="00312485">
              <w:rPr>
                <w:rFonts w:eastAsiaTheme="minorHAnsi"/>
                <w:color w:val="000000"/>
                <w:sz w:val="16"/>
                <w:lang w:val="ro-MD"/>
              </w:rPr>
              <w:t xml:space="preserve"> </w:t>
            </w:r>
            <w:r w:rsidRPr="00312485">
              <w:rPr>
                <w:rFonts w:eastAsiaTheme="minorHAnsi"/>
                <w:color w:val="000000"/>
                <w:sz w:val="16"/>
                <w:lang w:val="ro-MD"/>
              </w:rPr>
              <w:t>116.8</w:t>
            </w:r>
          </w:p>
        </w:tc>
        <w:tc>
          <w:tcPr>
            <w:tcW w:w="0" w:type="auto"/>
            <w:shd w:val="clear" w:color="auto" w:fill="auto"/>
            <w:tcMar>
              <w:top w:w="0" w:type="dxa"/>
              <w:left w:w="115" w:type="dxa"/>
              <w:bottom w:w="0" w:type="dxa"/>
              <w:right w:w="115" w:type="dxa"/>
            </w:tcMar>
            <w:vAlign w:val="center"/>
          </w:tcPr>
          <w:p w14:paraId="2DB2D6DB" w14:textId="4A9CD6CD"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70</w:t>
            </w:r>
            <w:r w:rsidR="00A540B5">
              <w:rPr>
                <w:rFonts w:eastAsiaTheme="minorHAnsi"/>
                <w:color w:val="000000"/>
                <w:sz w:val="16"/>
                <w:lang w:val="ro-MD"/>
              </w:rPr>
              <w:t xml:space="preserve"> </w:t>
            </w:r>
            <w:r w:rsidRPr="00312485">
              <w:rPr>
                <w:rFonts w:eastAsiaTheme="minorHAnsi"/>
                <w:color w:val="000000"/>
                <w:sz w:val="16"/>
                <w:lang w:val="ro-MD"/>
              </w:rPr>
              <w:t>466.3</w:t>
            </w:r>
          </w:p>
        </w:tc>
        <w:tc>
          <w:tcPr>
            <w:tcW w:w="0" w:type="auto"/>
            <w:shd w:val="clear" w:color="auto" w:fill="auto"/>
            <w:tcMar>
              <w:top w:w="0" w:type="dxa"/>
              <w:left w:w="115" w:type="dxa"/>
              <w:bottom w:w="0" w:type="dxa"/>
              <w:right w:w="115" w:type="dxa"/>
            </w:tcMar>
            <w:vAlign w:val="center"/>
          </w:tcPr>
          <w:p w14:paraId="40E94BF3"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16.7</w:t>
            </w:r>
          </w:p>
        </w:tc>
        <w:tc>
          <w:tcPr>
            <w:tcW w:w="0" w:type="auto"/>
            <w:shd w:val="clear" w:color="auto" w:fill="auto"/>
            <w:tcMar>
              <w:top w:w="0" w:type="dxa"/>
              <w:left w:w="115" w:type="dxa"/>
              <w:bottom w:w="0" w:type="dxa"/>
              <w:right w:w="115" w:type="dxa"/>
            </w:tcMar>
            <w:vAlign w:val="center"/>
          </w:tcPr>
          <w:p w14:paraId="5113928D"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17.6</w:t>
            </w:r>
          </w:p>
        </w:tc>
        <w:tc>
          <w:tcPr>
            <w:tcW w:w="0" w:type="auto"/>
            <w:tcBorders>
              <w:bottom w:val="single" w:sz="4" w:space="0" w:color="auto"/>
            </w:tcBorders>
            <w:shd w:val="clear" w:color="auto" w:fill="auto"/>
            <w:tcMar>
              <w:top w:w="0" w:type="dxa"/>
              <w:left w:w="115" w:type="dxa"/>
              <w:bottom w:w="0" w:type="dxa"/>
              <w:right w:w="115" w:type="dxa"/>
            </w:tcMar>
            <w:vAlign w:val="center"/>
          </w:tcPr>
          <w:p w14:paraId="76EA0CED" w14:textId="77777777"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16.1</w:t>
            </w:r>
          </w:p>
        </w:tc>
        <w:tc>
          <w:tcPr>
            <w:tcW w:w="677" w:type="dxa"/>
            <w:tcBorders>
              <w:bottom w:val="single" w:sz="4" w:space="0" w:color="auto"/>
            </w:tcBorders>
            <w:shd w:val="clear" w:color="auto" w:fill="auto"/>
            <w:tcMar>
              <w:top w:w="0" w:type="dxa"/>
              <w:left w:w="115" w:type="dxa"/>
              <w:bottom w:w="0" w:type="dxa"/>
              <w:right w:w="115" w:type="dxa"/>
            </w:tcMar>
            <w:vAlign w:val="center"/>
          </w:tcPr>
          <w:p w14:paraId="0BFEDAE9" w14:textId="77777777"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17.1</w:t>
            </w:r>
          </w:p>
        </w:tc>
      </w:tr>
      <w:tr w:rsidR="00985C08" w:rsidRPr="00312485" w14:paraId="67AAEFD8" w14:textId="77777777" w:rsidTr="007A2C7B">
        <w:trPr>
          <w:trHeight w:val="409"/>
          <w:jc w:val="center"/>
        </w:trPr>
        <w:tc>
          <w:tcPr>
            <w:tcW w:w="2751" w:type="dxa"/>
            <w:tcMar>
              <w:top w:w="0" w:type="dxa"/>
              <w:left w:w="115" w:type="dxa"/>
              <w:bottom w:w="0" w:type="dxa"/>
              <w:right w:w="115" w:type="dxa"/>
            </w:tcMar>
            <w:vAlign w:val="center"/>
          </w:tcPr>
          <w:p w14:paraId="43339A13" w14:textId="77777777" w:rsidR="00985C08" w:rsidRPr="00312485" w:rsidRDefault="00985C08" w:rsidP="00F80C42">
            <w:pPr>
              <w:spacing w:line="276" w:lineRule="auto"/>
              <w:ind w:firstLine="0"/>
              <w:jc w:val="left"/>
              <w:rPr>
                <w:rFonts w:eastAsiaTheme="minorHAnsi"/>
                <w:color w:val="000000"/>
                <w:sz w:val="16"/>
                <w:lang w:val="ro-MD" w:eastAsia="ro-RO"/>
              </w:rPr>
            </w:pPr>
            <w:r w:rsidRPr="00312485">
              <w:rPr>
                <w:rFonts w:eastAsiaTheme="minorHAnsi"/>
                <w:b/>
                <w:bCs/>
                <w:color w:val="000000"/>
                <w:sz w:val="16"/>
                <w:lang w:val="ro-MD" w:eastAsia="ro-RO"/>
              </w:rPr>
              <w:t>Total Serviciul datoriei de stat</w:t>
            </w:r>
          </w:p>
        </w:tc>
        <w:tc>
          <w:tcPr>
            <w:tcW w:w="0" w:type="auto"/>
            <w:tcMar>
              <w:top w:w="0" w:type="dxa"/>
              <w:left w:w="115" w:type="dxa"/>
              <w:bottom w:w="0" w:type="dxa"/>
              <w:right w:w="115" w:type="dxa"/>
            </w:tcMar>
            <w:vAlign w:val="center"/>
          </w:tcPr>
          <w:p w14:paraId="2DAAA066" w14:textId="05098747" w:rsidR="00985C08" w:rsidRPr="00312485" w:rsidRDefault="00985C08" w:rsidP="00F80C42">
            <w:pPr>
              <w:spacing w:line="276" w:lineRule="auto"/>
              <w:ind w:firstLine="0"/>
              <w:jc w:val="center"/>
              <w:rPr>
                <w:rFonts w:eastAsiaTheme="minorHAnsi"/>
                <w:b/>
                <w:sz w:val="16"/>
                <w:lang w:val="ro-MD" w:eastAsia="en-GB"/>
              </w:rPr>
            </w:pPr>
            <w:r w:rsidRPr="00312485">
              <w:rPr>
                <w:rFonts w:eastAsiaTheme="minorHAnsi"/>
                <w:b/>
                <w:sz w:val="16"/>
                <w:lang w:val="ro-MD" w:eastAsia="en-GB"/>
              </w:rPr>
              <w:t>5</w:t>
            </w:r>
            <w:r w:rsidR="00000106" w:rsidRPr="00312485">
              <w:rPr>
                <w:rFonts w:eastAsiaTheme="minorHAnsi"/>
                <w:b/>
                <w:sz w:val="16"/>
                <w:lang w:val="ro-MD" w:eastAsia="en-GB"/>
              </w:rPr>
              <w:t xml:space="preserve"> </w:t>
            </w:r>
            <w:r w:rsidRPr="00312485">
              <w:rPr>
                <w:rFonts w:eastAsiaTheme="minorHAnsi"/>
                <w:b/>
                <w:sz w:val="16"/>
                <w:lang w:val="ro-MD" w:eastAsia="en-GB"/>
              </w:rPr>
              <w:t>261.8</w:t>
            </w:r>
          </w:p>
        </w:tc>
        <w:tc>
          <w:tcPr>
            <w:tcW w:w="0" w:type="auto"/>
            <w:tcMar>
              <w:top w:w="0" w:type="dxa"/>
              <w:left w:w="115" w:type="dxa"/>
              <w:bottom w:w="0" w:type="dxa"/>
              <w:right w:w="115" w:type="dxa"/>
            </w:tcMar>
            <w:vAlign w:val="center"/>
          </w:tcPr>
          <w:p w14:paraId="05D82633" w14:textId="299EBBC9" w:rsidR="00985C08" w:rsidRPr="00312485" w:rsidRDefault="00985C08" w:rsidP="00F80C42">
            <w:pPr>
              <w:spacing w:line="276" w:lineRule="auto"/>
              <w:ind w:firstLine="0"/>
              <w:jc w:val="center"/>
              <w:rPr>
                <w:rFonts w:eastAsiaTheme="minorHAnsi"/>
                <w:b/>
                <w:sz w:val="16"/>
                <w:lang w:val="ro-MD" w:eastAsia="en-GB"/>
              </w:rPr>
            </w:pPr>
            <w:r w:rsidRPr="00312485">
              <w:rPr>
                <w:rFonts w:eastAsiaTheme="minorHAnsi"/>
                <w:b/>
                <w:sz w:val="16"/>
                <w:lang w:val="ro-MD" w:eastAsia="en-GB"/>
              </w:rPr>
              <w:t>5</w:t>
            </w:r>
            <w:r w:rsidR="00000106" w:rsidRPr="00312485">
              <w:rPr>
                <w:rFonts w:eastAsiaTheme="minorHAnsi"/>
                <w:b/>
                <w:sz w:val="16"/>
                <w:lang w:val="ro-MD" w:eastAsia="en-GB"/>
              </w:rPr>
              <w:t xml:space="preserve"> </w:t>
            </w:r>
            <w:r w:rsidRPr="00312485">
              <w:rPr>
                <w:rFonts w:eastAsiaTheme="minorHAnsi"/>
                <w:b/>
                <w:sz w:val="16"/>
                <w:lang w:val="ro-MD" w:eastAsia="en-GB"/>
              </w:rPr>
              <w:t>828.7</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503E2E65" w14:textId="2FC5454D"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6</w:t>
            </w:r>
            <w:r w:rsidR="00000106" w:rsidRPr="00312485">
              <w:rPr>
                <w:rFonts w:eastAsiaTheme="minorHAnsi"/>
                <w:b/>
                <w:bCs/>
                <w:color w:val="000000"/>
                <w:sz w:val="16"/>
                <w:lang w:val="ro-MD"/>
              </w:rPr>
              <w:t xml:space="preserve"> </w:t>
            </w:r>
            <w:r w:rsidRPr="00312485">
              <w:rPr>
                <w:rFonts w:eastAsiaTheme="minorHAnsi"/>
                <w:b/>
                <w:bCs/>
                <w:color w:val="000000"/>
                <w:sz w:val="16"/>
                <w:lang w:val="ro-MD"/>
              </w:rPr>
              <w:t>045.1</w:t>
            </w:r>
          </w:p>
        </w:tc>
        <w:tc>
          <w:tcPr>
            <w:tcW w:w="0" w:type="auto"/>
            <w:tcBorders>
              <w:top w:val="single" w:sz="4" w:space="0" w:color="auto"/>
              <w:left w:val="nil"/>
              <w:bottom w:val="single" w:sz="4" w:space="0" w:color="auto"/>
              <w:right w:val="single" w:sz="4" w:space="0" w:color="auto"/>
            </w:tcBorders>
            <w:shd w:val="clear" w:color="auto" w:fill="auto"/>
            <w:tcMar>
              <w:top w:w="0" w:type="dxa"/>
              <w:left w:w="115" w:type="dxa"/>
              <w:bottom w:w="0" w:type="dxa"/>
              <w:right w:w="115" w:type="dxa"/>
            </w:tcMar>
            <w:vAlign w:val="center"/>
          </w:tcPr>
          <w:p w14:paraId="7C86B78C" w14:textId="0AC3022F" w:rsidR="00985C08" w:rsidRPr="00312485" w:rsidRDefault="00985C08" w:rsidP="00F80C42">
            <w:pPr>
              <w:spacing w:line="276" w:lineRule="auto"/>
              <w:ind w:firstLine="0"/>
              <w:jc w:val="center"/>
              <w:rPr>
                <w:rFonts w:eastAsiaTheme="minorHAnsi"/>
                <w:b/>
                <w:bCs/>
                <w:color w:val="000000"/>
                <w:sz w:val="16"/>
                <w:lang w:val="ro-MD"/>
              </w:rPr>
            </w:pPr>
            <w:r w:rsidRPr="00312485">
              <w:rPr>
                <w:rFonts w:eastAsiaTheme="minorHAnsi"/>
                <w:b/>
                <w:bCs/>
                <w:color w:val="000000"/>
                <w:sz w:val="16"/>
                <w:lang w:val="ro-MD"/>
              </w:rPr>
              <w:t>6</w:t>
            </w:r>
            <w:r w:rsidR="00000106" w:rsidRPr="00312485">
              <w:rPr>
                <w:rFonts w:eastAsiaTheme="minorHAnsi"/>
                <w:b/>
                <w:bCs/>
                <w:color w:val="000000"/>
                <w:sz w:val="16"/>
                <w:lang w:val="ro-MD"/>
              </w:rPr>
              <w:t xml:space="preserve"> </w:t>
            </w:r>
            <w:r w:rsidRPr="00312485">
              <w:rPr>
                <w:rFonts w:eastAsiaTheme="minorHAnsi"/>
                <w:b/>
                <w:bCs/>
                <w:color w:val="000000"/>
                <w:sz w:val="16"/>
                <w:lang w:val="ro-MD"/>
              </w:rPr>
              <w:t>761.7</w:t>
            </w:r>
          </w:p>
        </w:tc>
        <w:tc>
          <w:tcPr>
            <w:tcW w:w="0" w:type="auto"/>
            <w:shd w:val="clear" w:color="000000" w:fill="FFFFFF"/>
            <w:tcMar>
              <w:top w:w="0" w:type="dxa"/>
              <w:left w:w="115" w:type="dxa"/>
              <w:bottom w:w="0" w:type="dxa"/>
              <w:right w:w="115" w:type="dxa"/>
            </w:tcMar>
            <w:vAlign w:val="center"/>
          </w:tcPr>
          <w:p w14:paraId="573C746A" w14:textId="77777777" w:rsidR="00985C08" w:rsidRPr="00312485" w:rsidRDefault="00985C08" w:rsidP="00F80C42">
            <w:pPr>
              <w:spacing w:line="276" w:lineRule="auto"/>
              <w:ind w:firstLine="0"/>
              <w:jc w:val="center"/>
              <w:rPr>
                <w:rFonts w:eastAsiaTheme="minorHAnsi"/>
                <w:b/>
                <w:bCs/>
                <w:color w:val="000000"/>
                <w:sz w:val="16"/>
                <w:lang w:val="ro-MD" w:eastAsia="ro-RO"/>
              </w:rPr>
            </w:pPr>
            <w:r w:rsidRPr="00312485">
              <w:rPr>
                <w:rFonts w:eastAsiaTheme="minorHAnsi"/>
                <w:b/>
                <w:bCs/>
                <w:color w:val="000000"/>
                <w:sz w:val="16"/>
                <w:lang w:val="ro-MD" w:eastAsia="ro-RO"/>
              </w:rPr>
              <w:t>1.4</w:t>
            </w:r>
          </w:p>
        </w:tc>
        <w:tc>
          <w:tcPr>
            <w:tcW w:w="0" w:type="auto"/>
            <w:shd w:val="clear" w:color="000000" w:fill="FFFFFF"/>
            <w:tcMar>
              <w:top w:w="0" w:type="dxa"/>
              <w:left w:w="115" w:type="dxa"/>
              <w:bottom w:w="0" w:type="dxa"/>
              <w:right w:w="115" w:type="dxa"/>
            </w:tcMar>
            <w:vAlign w:val="center"/>
          </w:tcPr>
          <w:p w14:paraId="454AD868" w14:textId="77777777" w:rsidR="00985C08" w:rsidRPr="00312485" w:rsidRDefault="00985C08" w:rsidP="00F80C42">
            <w:pPr>
              <w:spacing w:line="276" w:lineRule="auto"/>
              <w:ind w:firstLine="0"/>
              <w:jc w:val="center"/>
              <w:rPr>
                <w:rFonts w:eastAsiaTheme="minorHAnsi"/>
                <w:b/>
                <w:bCs/>
                <w:color w:val="000000"/>
                <w:sz w:val="16"/>
                <w:lang w:val="ro-MD" w:eastAsia="ro-RO"/>
              </w:rPr>
            </w:pPr>
            <w:r w:rsidRPr="00312485">
              <w:rPr>
                <w:rFonts w:eastAsiaTheme="minorHAnsi"/>
                <w:b/>
                <w:bCs/>
                <w:color w:val="000000"/>
                <w:sz w:val="16"/>
                <w:lang w:val="ro-MD" w:eastAsia="ro-RO"/>
              </w:rPr>
              <w:t>1.4</w:t>
            </w:r>
          </w:p>
        </w:tc>
        <w:tc>
          <w:tcPr>
            <w:tcW w:w="0" w:type="auto"/>
            <w:tcBorders>
              <w:top w:val="single" w:sz="4" w:space="0" w:color="auto"/>
              <w:left w:val="nil"/>
              <w:bottom w:val="single" w:sz="4" w:space="0" w:color="auto"/>
              <w:right w:val="single" w:sz="4" w:space="0" w:color="auto"/>
            </w:tcBorders>
            <w:shd w:val="clear" w:color="000000" w:fill="FFFFFF"/>
            <w:tcMar>
              <w:top w:w="0" w:type="dxa"/>
              <w:left w:w="115" w:type="dxa"/>
              <w:bottom w:w="0" w:type="dxa"/>
              <w:right w:w="115" w:type="dxa"/>
            </w:tcMar>
            <w:vAlign w:val="center"/>
          </w:tcPr>
          <w:p w14:paraId="635CD5B6" w14:textId="77777777" w:rsidR="00985C08" w:rsidRPr="00312485" w:rsidRDefault="00985C08" w:rsidP="00F80C42">
            <w:pPr>
              <w:spacing w:line="276" w:lineRule="auto"/>
              <w:ind w:firstLine="0"/>
              <w:jc w:val="center"/>
              <w:rPr>
                <w:rFonts w:eastAsiaTheme="minorHAnsi"/>
                <w:b/>
                <w:sz w:val="16"/>
                <w:lang w:val="ro-MD"/>
              </w:rPr>
            </w:pPr>
            <w:r w:rsidRPr="00312485">
              <w:rPr>
                <w:rFonts w:eastAsiaTheme="minorHAnsi"/>
                <w:b/>
                <w:sz w:val="16"/>
                <w:lang w:val="ro-MD"/>
              </w:rPr>
              <w:t>1.6</w:t>
            </w:r>
          </w:p>
        </w:tc>
        <w:tc>
          <w:tcPr>
            <w:tcW w:w="677" w:type="dxa"/>
            <w:tcBorders>
              <w:top w:val="single" w:sz="4" w:space="0" w:color="auto"/>
              <w:left w:val="single" w:sz="4" w:space="0" w:color="auto"/>
              <w:bottom w:val="single" w:sz="4" w:space="0" w:color="auto"/>
              <w:right w:val="single" w:sz="4" w:space="0" w:color="auto"/>
            </w:tcBorders>
            <w:shd w:val="clear" w:color="000000" w:fill="FFFFFF"/>
            <w:tcMar>
              <w:top w:w="0" w:type="dxa"/>
              <w:left w:w="115" w:type="dxa"/>
              <w:bottom w:w="0" w:type="dxa"/>
              <w:right w:w="115" w:type="dxa"/>
            </w:tcMar>
            <w:vAlign w:val="center"/>
          </w:tcPr>
          <w:p w14:paraId="7B7F8F57" w14:textId="77777777" w:rsidR="00985C08" w:rsidRPr="00312485" w:rsidRDefault="00985C08" w:rsidP="00F80C42">
            <w:pPr>
              <w:spacing w:line="276" w:lineRule="auto"/>
              <w:ind w:firstLine="0"/>
              <w:jc w:val="center"/>
              <w:rPr>
                <w:rFonts w:eastAsiaTheme="minorHAnsi"/>
                <w:b/>
                <w:sz w:val="16"/>
                <w:lang w:val="ro-MD"/>
              </w:rPr>
            </w:pPr>
            <w:r w:rsidRPr="00312485">
              <w:rPr>
                <w:rFonts w:eastAsiaTheme="minorHAnsi"/>
                <w:b/>
                <w:sz w:val="16"/>
                <w:lang w:val="ro-MD"/>
              </w:rPr>
              <w:t>1.6</w:t>
            </w:r>
          </w:p>
        </w:tc>
      </w:tr>
      <w:tr w:rsidR="00985C08" w:rsidRPr="00312485" w14:paraId="14428C1C" w14:textId="77777777" w:rsidTr="007A2C7B">
        <w:trPr>
          <w:trHeight w:val="109"/>
          <w:jc w:val="center"/>
        </w:trPr>
        <w:tc>
          <w:tcPr>
            <w:tcW w:w="2751" w:type="dxa"/>
            <w:shd w:val="clear" w:color="000000" w:fill="FFFFFF"/>
            <w:tcMar>
              <w:top w:w="0" w:type="dxa"/>
              <w:left w:w="115" w:type="dxa"/>
              <w:bottom w:w="0" w:type="dxa"/>
              <w:right w:w="115" w:type="dxa"/>
            </w:tcMar>
            <w:vAlign w:val="center"/>
          </w:tcPr>
          <w:p w14:paraId="23C01965"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Datoria externă</w:t>
            </w:r>
          </w:p>
        </w:tc>
        <w:tc>
          <w:tcPr>
            <w:tcW w:w="0" w:type="auto"/>
            <w:tcMar>
              <w:top w:w="0" w:type="dxa"/>
              <w:left w:w="115" w:type="dxa"/>
              <w:bottom w:w="0" w:type="dxa"/>
              <w:right w:w="115" w:type="dxa"/>
            </w:tcMar>
            <w:vAlign w:val="center"/>
          </w:tcPr>
          <w:p w14:paraId="1B9B0F0F" w14:textId="2CAF2980"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2</w:t>
            </w:r>
            <w:r w:rsidR="00000106" w:rsidRPr="00312485">
              <w:rPr>
                <w:rFonts w:eastAsiaTheme="minorHAnsi"/>
                <w:sz w:val="16"/>
                <w:lang w:val="ro-MD" w:eastAsia="en-GB"/>
              </w:rPr>
              <w:t xml:space="preserve"> </w:t>
            </w:r>
            <w:r w:rsidRPr="00312485">
              <w:rPr>
                <w:rFonts w:eastAsiaTheme="minorHAnsi"/>
                <w:sz w:val="16"/>
                <w:lang w:val="ro-MD" w:eastAsia="en-GB"/>
              </w:rPr>
              <w:t>351.9</w:t>
            </w:r>
          </w:p>
        </w:tc>
        <w:tc>
          <w:tcPr>
            <w:tcW w:w="0" w:type="auto"/>
            <w:tcMar>
              <w:top w:w="0" w:type="dxa"/>
              <w:left w:w="115" w:type="dxa"/>
              <w:bottom w:w="0" w:type="dxa"/>
              <w:right w:w="115" w:type="dxa"/>
            </w:tcMar>
            <w:vAlign w:val="center"/>
          </w:tcPr>
          <w:p w14:paraId="269D8459" w14:textId="79587044"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2</w:t>
            </w:r>
            <w:r w:rsidR="00000106" w:rsidRPr="00312485">
              <w:rPr>
                <w:rFonts w:eastAsiaTheme="minorHAnsi"/>
                <w:sz w:val="16"/>
                <w:lang w:val="ro-MD" w:eastAsia="en-GB"/>
              </w:rPr>
              <w:t xml:space="preserve"> </w:t>
            </w:r>
            <w:r w:rsidRPr="00312485">
              <w:rPr>
                <w:rFonts w:eastAsiaTheme="minorHAnsi"/>
                <w:sz w:val="16"/>
                <w:lang w:val="ro-MD" w:eastAsia="en-GB"/>
              </w:rPr>
              <w:t>443.5</w:t>
            </w:r>
          </w:p>
        </w:tc>
        <w:tc>
          <w:tcPr>
            <w:tcW w:w="0" w:type="auto"/>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03EB1244" w14:textId="60D388BC"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2</w:t>
            </w:r>
            <w:r w:rsidR="00000106" w:rsidRPr="00312485">
              <w:rPr>
                <w:rFonts w:eastAsiaTheme="minorHAnsi"/>
                <w:color w:val="000000"/>
                <w:sz w:val="16"/>
                <w:lang w:val="ro-MD"/>
              </w:rPr>
              <w:t xml:space="preserve"> </w:t>
            </w:r>
            <w:r w:rsidRPr="00312485">
              <w:rPr>
                <w:rFonts w:eastAsiaTheme="minorHAnsi"/>
                <w:color w:val="000000"/>
                <w:sz w:val="16"/>
                <w:lang w:val="ro-MD"/>
              </w:rPr>
              <w:t>221.4</w:t>
            </w:r>
          </w:p>
        </w:tc>
        <w:tc>
          <w:tcPr>
            <w:tcW w:w="0" w:type="auto"/>
            <w:tcBorders>
              <w:top w:val="nil"/>
              <w:left w:val="nil"/>
              <w:bottom w:val="single" w:sz="4" w:space="0" w:color="auto"/>
              <w:right w:val="single" w:sz="4" w:space="0" w:color="auto"/>
            </w:tcBorders>
            <w:shd w:val="clear" w:color="auto" w:fill="auto"/>
            <w:tcMar>
              <w:top w:w="0" w:type="dxa"/>
              <w:left w:w="115" w:type="dxa"/>
              <w:bottom w:w="0" w:type="dxa"/>
              <w:right w:w="115" w:type="dxa"/>
            </w:tcMar>
            <w:vAlign w:val="center"/>
          </w:tcPr>
          <w:p w14:paraId="6C287C90" w14:textId="0EE243E4"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2</w:t>
            </w:r>
            <w:r w:rsidR="00000106" w:rsidRPr="00312485">
              <w:rPr>
                <w:rFonts w:eastAsiaTheme="minorHAnsi"/>
                <w:color w:val="000000"/>
                <w:sz w:val="16"/>
                <w:lang w:val="ro-MD"/>
              </w:rPr>
              <w:t xml:space="preserve"> </w:t>
            </w:r>
            <w:r w:rsidRPr="00312485">
              <w:rPr>
                <w:rFonts w:eastAsiaTheme="minorHAnsi"/>
                <w:color w:val="000000"/>
                <w:sz w:val="16"/>
                <w:lang w:val="ro-MD"/>
              </w:rPr>
              <w:t>591.8</w:t>
            </w:r>
          </w:p>
        </w:tc>
        <w:tc>
          <w:tcPr>
            <w:tcW w:w="0" w:type="auto"/>
            <w:shd w:val="clear" w:color="000000" w:fill="FFFFFF"/>
            <w:tcMar>
              <w:top w:w="0" w:type="dxa"/>
              <w:left w:w="115" w:type="dxa"/>
              <w:bottom w:w="0" w:type="dxa"/>
              <w:right w:w="115" w:type="dxa"/>
            </w:tcMar>
            <w:vAlign w:val="center"/>
          </w:tcPr>
          <w:p w14:paraId="683F938D"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0.6</w:t>
            </w:r>
          </w:p>
        </w:tc>
        <w:tc>
          <w:tcPr>
            <w:tcW w:w="0" w:type="auto"/>
            <w:shd w:val="clear" w:color="000000" w:fill="FFFFFF"/>
            <w:tcMar>
              <w:top w:w="0" w:type="dxa"/>
              <w:left w:w="115" w:type="dxa"/>
              <w:bottom w:w="0" w:type="dxa"/>
              <w:right w:w="115" w:type="dxa"/>
            </w:tcMar>
            <w:vAlign w:val="center"/>
          </w:tcPr>
          <w:p w14:paraId="6A0C7025"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0.6</w:t>
            </w:r>
          </w:p>
        </w:tc>
        <w:tc>
          <w:tcPr>
            <w:tcW w:w="0" w:type="auto"/>
            <w:tcBorders>
              <w:top w:val="single" w:sz="4" w:space="0" w:color="auto"/>
              <w:left w:val="nil"/>
              <w:bottom w:val="single" w:sz="4" w:space="0" w:color="auto"/>
              <w:right w:val="single" w:sz="4" w:space="0" w:color="auto"/>
            </w:tcBorders>
            <w:shd w:val="clear" w:color="000000" w:fill="FFFFFF"/>
            <w:tcMar>
              <w:top w:w="0" w:type="dxa"/>
              <w:left w:w="115" w:type="dxa"/>
              <w:bottom w:w="0" w:type="dxa"/>
              <w:right w:w="115" w:type="dxa"/>
            </w:tcMar>
            <w:vAlign w:val="center"/>
          </w:tcPr>
          <w:p w14:paraId="7A37392B" w14:textId="77777777" w:rsidR="00985C08" w:rsidRPr="00312485" w:rsidRDefault="00985C08" w:rsidP="00F80C42">
            <w:pPr>
              <w:spacing w:line="276" w:lineRule="auto"/>
              <w:ind w:firstLine="0"/>
              <w:jc w:val="center"/>
              <w:rPr>
                <w:rFonts w:eastAsiaTheme="minorHAnsi"/>
                <w:sz w:val="16"/>
                <w:lang w:val="ro-MD"/>
              </w:rPr>
            </w:pPr>
            <w:r w:rsidRPr="00312485">
              <w:rPr>
                <w:rFonts w:eastAsiaTheme="minorHAnsi"/>
                <w:sz w:val="16"/>
                <w:lang w:val="ro-MD"/>
              </w:rPr>
              <w:t>0.6</w:t>
            </w:r>
          </w:p>
        </w:tc>
        <w:tc>
          <w:tcPr>
            <w:tcW w:w="677" w:type="dxa"/>
            <w:tcBorders>
              <w:top w:val="single" w:sz="4" w:space="0" w:color="auto"/>
              <w:left w:val="single" w:sz="4" w:space="0" w:color="auto"/>
              <w:bottom w:val="single" w:sz="4" w:space="0" w:color="auto"/>
              <w:right w:val="single" w:sz="4" w:space="0" w:color="auto"/>
            </w:tcBorders>
            <w:shd w:val="clear" w:color="000000" w:fill="FFFFFF"/>
            <w:tcMar>
              <w:top w:w="0" w:type="dxa"/>
              <w:left w:w="115" w:type="dxa"/>
              <w:bottom w:w="0" w:type="dxa"/>
              <w:right w:w="115" w:type="dxa"/>
            </w:tcMar>
            <w:vAlign w:val="center"/>
          </w:tcPr>
          <w:p w14:paraId="33991EE2" w14:textId="77777777" w:rsidR="00985C08" w:rsidRPr="00312485" w:rsidRDefault="00985C08" w:rsidP="00F80C42">
            <w:pPr>
              <w:spacing w:line="276" w:lineRule="auto"/>
              <w:ind w:firstLine="0"/>
              <w:jc w:val="center"/>
              <w:rPr>
                <w:rFonts w:eastAsiaTheme="minorHAnsi"/>
                <w:sz w:val="16"/>
                <w:lang w:val="ro-MD"/>
              </w:rPr>
            </w:pPr>
            <w:r w:rsidRPr="00312485">
              <w:rPr>
                <w:rFonts w:eastAsiaTheme="minorHAnsi"/>
                <w:sz w:val="16"/>
                <w:lang w:val="ro-MD"/>
              </w:rPr>
              <w:t>0.6</w:t>
            </w:r>
          </w:p>
        </w:tc>
      </w:tr>
      <w:tr w:rsidR="00985C08" w:rsidRPr="00312485" w14:paraId="7A669687" w14:textId="77777777" w:rsidTr="007A2C7B">
        <w:trPr>
          <w:jc w:val="center"/>
        </w:trPr>
        <w:tc>
          <w:tcPr>
            <w:tcW w:w="2751" w:type="dxa"/>
            <w:shd w:val="clear" w:color="000000" w:fill="FFFFFF"/>
            <w:tcMar>
              <w:top w:w="0" w:type="dxa"/>
              <w:left w:w="115" w:type="dxa"/>
              <w:bottom w:w="0" w:type="dxa"/>
              <w:right w:w="115" w:type="dxa"/>
            </w:tcMar>
            <w:vAlign w:val="center"/>
          </w:tcPr>
          <w:p w14:paraId="5805D700"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Datoria internă</w:t>
            </w:r>
          </w:p>
        </w:tc>
        <w:tc>
          <w:tcPr>
            <w:tcW w:w="0" w:type="auto"/>
            <w:tcMar>
              <w:top w:w="0" w:type="dxa"/>
              <w:left w:w="115" w:type="dxa"/>
              <w:bottom w:w="0" w:type="dxa"/>
              <w:right w:w="115" w:type="dxa"/>
            </w:tcMar>
            <w:vAlign w:val="center"/>
          </w:tcPr>
          <w:p w14:paraId="73160A1E" w14:textId="6467A3BB"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2</w:t>
            </w:r>
            <w:r w:rsidR="00000106" w:rsidRPr="00312485">
              <w:rPr>
                <w:rFonts w:eastAsiaTheme="minorHAnsi"/>
                <w:sz w:val="16"/>
                <w:lang w:val="ro-MD" w:eastAsia="en-GB"/>
              </w:rPr>
              <w:t xml:space="preserve"> </w:t>
            </w:r>
            <w:r w:rsidRPr="00312485">
              <w:rPr>
                <w:rFonts w:eastAsiaTheme="minorHAnsi"/>
                <w:sz w:val="16"/>
                <w:lang w:val="ro-MD" w:eastAsia="en-GB"/>
              </w:rPr>
              <w:t>909.9</w:t>
            </w:r>
          </w:p>
        </w:tc>
        <w:tc>
          <w:tcPr>
            <w:tcW w:w="0" w:type="auto"/>
            <w:tcMar>
              <w:top w:w="0" w:type="dxa"/>
              <w:left w:w="115" w:type="dxa"/>
              <w:bottom w:w="0" w:type="dxa"/>
              <w:right w:w="115" w:type="dxa"/>
            </w:tcMar>
            <w:vAlign w:val="center"/>
          </w:tcPr>
          <w:p w14:paraId="2F8F090D" w14:textId="6715FB54" w:rsidR="00985C08" w:rsidRPr="00312485" w:rsidRDefault="00985C08" w:rsidP="00F80C42">
            <w:pPr>
              <w:spacing w:line="276" w:lineRule="auto"/>
              <w:ind w:firstLine="0"/>
              <w:jc w:val="center"/>
              <w:rPr>
                <w:rFonts w:eastAsiaTheme="minorHAnsi"/>
                <w:sz w:val="16"/>
                <w:lang w:val="ro-MD" w:eastAsia="en-GB"/>
              </w:rPr>
            </w:pPr>
            <w:r w:rsidRPr="00312485">
              <w:rPr>
                <w:rFonts w:eastAsiaTheme="minorHAnsi"/>
                <w:sz w:val="16"/>
                <w:lang w:val="ro-MD" w:eastAsia="en-GB"/>
              </w:rPr>
              <w:t>3</w:t>
            </w:r>
            <w:r w:rsidR="00000106" w:rsidRPr="00312485">
              <w:rPr>
                <w:rFonts w:eastAsiaTheme="minorHAnsi"/>
                <w:sz w:val="16"/>
                <w:lang w:val="ro-MD" w:eastAsia="en-GB"/>
              </w:rPr>
              <w:t xml:space="preserve"> </w:t>
            </w:r>
            <w:r w:rsidRPr="00312485">
              <w:rPr>
                <w:rFonts w:eastAsiaTheme="minorHAnsi"/>
                <w:sz w:val="16"/>
                <w:lang w:val="ro-MD" w:eastAsia="en-GB"/>
              </w:rPr>
              <w:t>385.2</w:t>
            </w:r>
          </w:p>
        </w:tc>
        <w:tc>
          <w:tcPr>
            <w:tcW w:w="0" w:type="auto"/>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1D5AFDC8" w14:textId="7E71E4D1"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3</w:t>
            </w:r>
            <w:r w:rsidR="00000106" w:rsidRPr="00312485">
              <w:rPr>
                <w:rFonts w:eastAsiaTheme="minorHAnsi"/>
                <w:color w:val="000000"/>
                <w:sz w:val="16"/>
                <w:lang w:val="ro-MD"/>
              </w:rPr>
              <w:t xml:space="preserve"> </w:t>
            </w:r>
            <w:r w:rsidRPr="00312485">
              <w:rPr>
                <w:rFonts w:eastAsiaTheme="minorHAnsi"/>
                <w:color w:val="000000"/>
                <w:sz w:val="16"/>
                <w:lang w:val="ro-MD"/>
              </w:rPr>
              <w:t>823.7</w:t>
            </w:r>
          </w:p>
        </w:tc>
        <w:tc>
          <w:tcPr>
            <w:tcW w:w="0" w:type="auto"/>
            <w:tcBorders>
              <w:top w:val="nil"/>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tcPr>
          <w:p w14:paraId="46C6B520" w14:textId="61BEDE05" w:rsidR="00985C08" w:rsidRPr="00312485" w:rsidRDefault="00985C08" w:rsidP="00F80C42">
            <w:pPr>
              <w:spacing w:line="276" w:lineRule="auto"/>
              <w:ind w:firstLine="0"/>
              <w:jc w:val="center"/>
              <w:rPr>
                <w:rFonts w:eastAsiaTheme="minorHAnsi"/>
                <w:color w:val="000000"/>
                <w:sz w:val="16"/>
                <w:lang w:val="ro-MD"/>
              </w:rPr>
            </w:pPr>
            <w:r w:rsidRPr="00312485">
              <w:rPr>
                <w:rFonts w:eastAsiaTheme="minorHAnsi"/>
                <w:color w:val="000000"/>
                <w:sz w:val="16"/>
                <w:lang w:val="ro-MD"/>
              </w:rPr>
              <w:t>4</w:t>
            </w:r>
            <w:r w:rsidR="00000106" w:rsidRPr="00312485">
              <w:rPr>
                <w:rFonts w:eastAsiaTheme="minorHAnsi"/>
                <w:color w:val="000000"/>
                <w:sz w:val="16"/>
                <w:lang w:val="ro-MD"/>
              </w:rPr>
              <w:t xml:space="preserve"> </w:t>
            </w:r>
            <w:r w:rsidRPr="00312485">
              <w:rPr>
                <w:rFonts w:eastAsiaTheme="minorHAnsi"/>
                <w:color w:val="000000"/>
                <w:sz w:val="16"/>
                <w:lang w:val="ro-MD"/>
              </w:rPr>
              <w:t>169.9</w:t>
            </w:r>
          </w:p>
        </w:tc>
        <w:tc>
          <w:tcPr>
            <w:tcW w:w="0" w:type="auto"/>
            <w:shd w:val="clear" w:color="000000" w:fill="FFFFFF"/>
            <w:tcMar>
              <w:top w:w="0" w:type="dxa"/>
              <w:left w:w="115" w:type="dxa"/>
              <w:bottom w:w="0" w:type="dxa"/>
              <w:right w:w="115" w:type="dxa"/>
            </w:tcMar>
            <w:vAlign w:val="center"/>
          </w:tcPr>
          <w:p w14:paraId="501F73CD"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0.8</w:t>
            </w:r>
          </w:p>
        </w:tc>
        <w:tc>
          <w:tcPr>
            <w:tcW w:w="0" w:type="auto"/>
            <w:shd w:val="clear" w:color="000000" w:fill="FFFFFF"/>
            <w:tcMar>
              <w:top w:w="0" w:type="dxa"/>
              <w:left w:w="115" w:type="dxa"/>
              <w:bottom w:w="0" w:type="dxa"/>
              <w:right w:w="115" w:type="dxa"/>
            </w:tcMar>
            <w:vAlign w:val="center"/>
          </w:tcPr>
          <w:p w14:paraId="61AA5DE1" w14:textId="77777777" w:rsidR="00985C08" w:rsidRPr="00312485" w:rsidRDefault="00985C08" w:rsidP="00F80C42">
            <w:pPr>
              <w:spacing w:line="276" w:lineRule="auto"/>
              <w:ind w:firstLine="0"/>
              <w:jc w:val="center"/>
              <w:rPr>
                <w:rFonts w:eastAsiaTheme="minorHAnsi"/>
                <w:color w:val="000000"/>
                <w:sz w:val="16"/>
                <w:lang w:val="ro-MD" w:eastAsia="ro-RO"/>
              </w:rPr>
            </w:pPr>
            <w:r w:rsidRPr="00312485">
              <w:rPr>
                <w:rFonts w:eastAsiaTheme="minorHAnsi"/>
                <w:color w:val="000000"/>
                <w:sz w:val="16"/>
                <w:lang w:val="ro-MD" w:eastAsia="ro-RO"/>
              </w:rPr>
              <w:t>0.8</w:t>
            </w:r>
          </w:p>
        </w:tc>
        <w:tc>
          <w:tcPr>
            <w:tcW w:w="0" w:type="auto"/>
            <w:tcBorders>
              <w:top w:val="single" w:sz="4" w:space="0" w:color="auto"/>
            </w:tcBorders>
            <w:tcMar>
              <w:top w:w="0" w:type="dxa"/>
              <w:left w:w="115" w:type="dxa"/>
              <w:bottom w:w="0" w:type="dxa"/>
              <w:right w:w="115" w:type="dxa"/>
            </w:tcMar>
            <w:vAlign w:val="center"/>
          </w:tcPr>
          <w:p w14:paraId="5FE07BD8" w14:textId="77777777" w:rsidR="00985C08" w:rsidRPr="00312485" w:rsidRDefault="00985C08" w:rsidP="00F80C42">
            <w:pPr>
              <w:spacing w:line="276" w:lineRule="auto"/>
              <w:ind w:firstLine="0"/>
              <w:jc w:val="center"/>
              <w:rPr>
                <w:rFonts w:eastAsiaTheme="minorHAnsi"/>
                <w:sz w:val="16"/>
                <w:lang w:val="ro-MD"/>
              </w:rPr>
            </w:pPr>
            <w:r w:rsidRPr="00312485">
              <w:rPr>
                <w:rFonts w:eastAsiaTheme="minorHAnsi"/>
                <w:sz w:val="16"/>
                <w:lang w:val="ro-MD"/>
              </w:rPr>
              <w:t>1.0</w:t>
            </w:r>
          </w:p>
        </w:tc>
        <w:tc>
          <w:tcPr>
            <w:tcW w:w="677" w:type="dxa"/>
            <w:tcBorders>
              <w:top w:val="single" w:sz="4" w:space="0" w:color="auto"/>
            </w:tcBorders>
            <w:tcMar>
              <w:top w:w="0" w:type="dxa"/>
              <w:left w:w="115" w:type="dxa"/>
              <w:bottom w:w="0" w:type="dxa"/>
              <w:right w:w="115" w:type="dxa"/>
            </w:tcMar>
            <w:vAlign w:val="center"/>
          </w:tcPr>
          <w:p w14:paraId="41FBF804" w14:textId="77777777" w:rsidR="00985C08" w:rsidRPr="00312485" w:rsidRDefault="00985C08" w:rsidP="00F80C42">
            <w:pPr>
              <w:spacing w:line="276" w:lineRule="auto"/>
              <w:ind w:firstLine="0"/>
              <w:jc w:val="center"/>
              <w:rPr>
                <w:rFonts w:eastAsiaTheme="minorHAnsi"/>
                <w:sz w:val="16"/>
                <w:lang w:val="ro-MD"/>
              </w:rPr>
            </w:pPr>
            <w:r w:rsidRPr="00312485">
              <w:rPr>
                <w:rFonts w:eastAsiaTheme="minorHAnsi"/>
                <w:sz w:val="16"/>
                <w:lang w:val="ro-MD"/>
              </w:rPr>
              <w:t>1.0</w:t>
            </w:r>
          </w:p>
        </w:tc>
      </w:tr>
    </w:tbl>
    <w:p w14:paraId="4CA9BA85" w14:textId="77777777" w:rsidR="00985C08" w:rsidRPr="00312485" w:rsidRDefault="00985C08" w:rsidP="00985C08">
      <w:pPr>
        <w:ind w:firstLine="567"/>
        <w:rPr>
          <w:rFonts w:eastAsia="Calibri"/>
          <w:bCs/>
          <w:i/>
          <w:iCs/>
          <w:color w:val="000000"/>
          <w:sz w:val="16"/>
          <w:szCs w:val="16"/>
          <w:lang w:val="ro-MD"/>
        </w:rPr>
      </w:pPr>
      <w:r w:rsidRPr="00312485">
        <w:rPr>
          <w:rFonts w:eastAsia="Calibri"/>
          <w:bCs/>
          <w:i/>
          <w:iCs/>
          <w:color w:val="000000"/>
          <w:sz w:val="16"/>
          <w:szCs w:val="16"/>
          <w:lang w:val="ro-MD"/>
        </w:rPr>
        <w:t>Sursa: Ministerul Finanțelor</w:t>
      </w:r>
    </w:p>
    <w:p w14:paraId="2665555D" w14:textId="77777777" w:rsidR="00985C08" w:rsidRPr="00312485" w:rsidRDefault="00985C08" w:rsidP="00985C08">
      <w:pPr>
        <w:rPr>
          <w:color w:val="FF0000"/>
          <w:sz w:val="18"/>
          <w:lang w:val="ro-MD"/>
        </w:rPr>
      </w:pPr>
    </w:p>
    <w:p w14:paraId="7A405016" w14:textId="3BDF45BB" w:rsidR="00985C08" w:rsidRPr="00312485" w:rsidRDefault="00985C08" w:rsidP="00985C08">
      <w:pPr>
        <w:spacing w:before="240"/>
        <w:ind w:firstLine="567"/>
        <w:contextualSpacing/>
        <w:rPr>
          <w:rFonts w:eastAsia="Calibri"/>
          <w:sz w:val="24"/>
          <w:szCs w:val="28"/>
          <w:lang w:val="ro-MD" w:eastAsia="ru-RU"/>
        </w:rPr>
      </w:pPr>
      <w:r w:rsidRPr="00312485">
        <w:rPr>
          <w:rFonts w:eastAsia="Calibri"/>
          <w:sz w:val="24"/>
          <w:szCs w:val="28"/>
          <w:lang w:val="ro-MD" w:eastAsia="ru-RU"/>
        </w:rPr>
        <w:t>Este de remarcat că, aceste estimări pot suferi ajustări semnificative și vor fi actualizate pe măsură ce sunt încheiate noi acorduri de împrumuturi de stat externe, precum și ca rezultat al revizuirii finanțării interne în dependență de necesitățile efective de finanțare a deficitului bugetar.</w:t>
      </w:r>
    </w:p>
    <w:p w14:paraId="0CD00BC6" w14:textId="77777777" w:rsidR="00C6356D" w:rsidRPr="00312485" w:rsidRDefault="00C6356D" w:rsidP="005F44EA">
      <w:pPr>
        <w:shd w:val="clear" w:color="auto" w:fill="FFFFFF"/>
        <w:ind w:firstLine="0"/>
        <w:jc w:val="left"/>
        <w:rPr>
          <w:b/>
          <w:bCs/>
          <w:iCs/>
          <w:color w:val="000000"/>
          <w:sz w:val="24"/>
          <w:szCs w:val="24"/>
          <w:highlight w:val="yellow"/>
          <w:lang w:val="ro-MD" w:eastAsia="ro-RO"/>
        </w:rPr>
      </w:pPr>
    </w:p>
    <w:p w14:paraId="7915BFBD" w14:textId="1A34388F" w:rsidR="005F44EA" w:rsidRPr="00312485" w:rsidRDefault="00780169" w:rsidP="009C222A">
      <w:pPr>
        <w:shd w:val="clear" w:color="auto" w:fill="FFFFFF"/>
        <w:ind w:firstLine="567"/>
        <w:rPr>
          <w:color w:val="000000"/>
          <w:sz w:val="24"/>
          <w:szCs w:val="24"/>
          <w:lang w:val="ro-MD" w:eastAsia="ro-RO"/>
        </w:rPr>
      </w:pPr>
      <w:r w:rsidRPr="00312485">
        <w:rPr>
          <w:b/>
          <w:bCs/>
          <w:iCs/>
          <w:color w:val="000000"/>
          <w:sz w:val="24"/>
          <w:szCs w:val="24"/>
          <w:lang w:val="ro-MD" w:eastAsia="ro-RO"/>
        </w:rPr>
        <w:t xml:space="preserve">B. </w:t>
      </w:r>
      <w:r w:rsidR="005F44EA" w:rsidRPr="00312485">
        <w:rPr>
          <w:b/>
          <w:bCs/>
          <w:iCs/>
          <w:color w:val="000000"/>
          <w:sz w:val="24"/>
          <w:szCs w:val="24"/>
          <w:lang w:val="ro-MD" w:eastAsia="ro-RO"/>
        </w:rPr>
        <w:t>Regula bugetar-fiscală și aplicarea ei pe termen mediu</w:t>
      </w:r>
    </w:p>
    <w:p w14:paraId="03B80127" w14:textId="77777777" w:rsidR="005F44EA" w:rsidRPr="00312485" w:rsidRDefault="005F44EA" w:rsidP="00C2708E">
      <w:pPr>
        <w:keepNext/>
        <w:keepLines/>
        <w:widowControl w:val="0"/>
        <w:spacing w:before="40"/>
        <w:ind w:left="360" w:hanging="360"/>
        <w:jc w:val="center"/>
        <w:outlineLvl w:val="1"/>
        <w:rPr>
          <w:rFonts w:eastAsiaTheme="majorEastAsia"/>
          <w:b/>
          <w:color w:val="FF0000"/>
          <w:sz w:val="24"/>
          <w:szCs w:val="24"/>
          <w:highlight w:val="yellow"/>
          <w:lang w:val="ro-MD"/>
        </w:rPr>
      </w:pPr>
    </w:p>
    <w:p w14:paraId="4C569ECC" w14:textId="77777777" w:rsidR="0027492D" w:rsidRPr="00312485" w:rsidRDefault="0027492D" w:rsidP="0027492D">
      <w:pPr>
        <w:pStyle w:val="bodytext10"/>
        <w:shd w:val="clear" w:color="auto" w:fill="FFFFFF"/>
        <w:spacing w:before="0" w:beforeAutospacing="0" w:after="0" w:afterAutospacing="0"/>
        <w:ind w:firstLine="567"/>
        <w:jc w:val="both"/>
        <w:rPr>
          <w:color w:val="000000"/>
          <w:lang w:val="ro-MD"/>
        </w:rPr>
      </w:pPr>
      <w:r w:rsidRPr="00312485">
        <w:rPr>
          <w:rStyle w:val="bodytext1"/>
          <w:color w:val="000000"/>
          <w:lang w:val="ro-MD"/>
        </w:rPr>
        <w:t>Un sistem funcțional de reguli bugetare este esențial pentru a asigura stabilitatea și sustenabilitatea pe termen lung a finanțelor publice.</w:t>
      </w:r>
      <w:r w:rsidRPr="00312485">
        <w:rPr>
          <w:lang w:val="ro-MD"/>
        </w:rPr>
        <w:t xml:space="preserve"> </w:t>
      </w:r>
      <w:r w:rsidRPr="00312485">
        <w:rPr>
          <w:rStyle w:val="bodytext1"/>
          <w:color w:val="000000"/>
          <w:lang w:val="ro-MD"/>
        </w:rPr>
        <w:t xml:space="preserve">Concordanța cu regula bugetar-fiscală reprezintă respectarea limitelor și criteriilor stabilite în legislația națională, menite să asigure o gestionare responsabilă a finanțelor publice. Aceasta are un rol esențial în menținerea stabilității macroeconomice, prin prevenirea acumulării excesive a deficitului și datoriei publice, dar și în consolidarea credibilității externe a țării față de partenerii internaționali și investitori. Totodată, concordanța cu regula fiscală contribuie la o utilizare mai eficientă a resurselor publice, obligând Guvernul să </w:t>
      </w:r>
      <w:proofErr w:type="spellStart"/>
      <w:r w:rsidRPr="00312485">
        <w:rPr>
          <w:rStyle w:val="bodytext1"/>
          <w:color w:val="000000"/>
          <w:lang w:val="ro-MD"/>
        </w:rPr>
        <w:t>prioritizeze</w:t>
      </w:r>
      <w:proofErr w:type="spellEnd"/>
      <w:r w:rsidRPr="00312485">
        <w:rPr>
          <w:rStyle w:val="bodytext1"/>
          <w:color w:val="000000"/>
          <w:lang w:val="ro-MD"/>
        </w:rPr>
        <w:t xml:space="preserve"> investițiile și să tempereze creșterea cheltuielilor curente.</w:t>
      </w:r>
    </w:p>
    <w:p w14:paraId="3290C5EC" w14:textId="303A983C" w:rsidR="00506C2C" w:rsidRPr="00312485" w:rsidRDefault="0027492D" w:rsidP="0027492D">
      <w:pPr>
        <w:pStyle w:val="bodytext10"/>
        <w:shd w:val="clear" w:color="auto" w:fill="FFFFFF"/>
        <w:spacing w:before="0" w:beforeAutospacing="0" w:after="0" w:afterAutospacing="0"/>
        <w:ind w:firstLine="567"/>
        <w:jc w:val="both"/>
        <w:rPr>
          <w:color w:val="000000"/>
          <w:lang w:val="ro-MD"/>
        </w:rPr>
      </w:pPr>
      <w:r w:rsidRPr="00312485">
        <w:rPr>
          <w:rStyle w:val="bodytext1"/>
          <w:color w:val="000000"/>
          <w:lang w:val="ro-MD"/>
        </w:rPr>
        <w:t>Începând cu anul 2018 a fost pusă în aplicare regula bugetar-fiscală conform prevederilor Legii finanțe</w:t>
      </w:r>
      <w:r w:rsidR="007916DC" w:rsidRPr="00312485">
        <w:rPr>
          <w:rStyle w:val="bodytext1"/>
          <w:color w:val="000000"/>
          <w:lang w:val="ro-MD"/>
        </w:rPr>
        <w:t>lor</w:t>
      </w:r>
      <w:r w:rsidRPr="00312485">
        <w:rPr>
          <w:rStyle w:val="bodytext1"/>
          <w:color w:val="000000"/>
          <w:lang w:val="ro-MD"/>
        </w:rPr>
        <w:t xml:space="preserve"> publice și responsabilit</w:t>
      </w:r>
      <w:r w:rsidR="007916DC" w:rsidRPr="00312485">
        <w:rPr>
          <w:rStyle w:val="bodytext1"/>
          <w:color w:val="000000"/>
          <w:lang w:val="ro-MD"/>
        </w:rPr>
        <w:t>ății</w:t>
      </w:r>
      <w:r w:rsidRPr="00312485">
        <w:rPr>
          <w:rStyle w:val="bodytext1"/>
          <w:color w:val="000000"/>
          <w:lang w:val="ro-MD"/>
        </w:rPr>
        <w:t xml:space="preserve"> fiscal-bugetar</w:t>
      </w:r>
      <w:r w:rsidR="007916DC" w:rsidRPr="00312485">
        <w:rPr>
          <w:rStyle w:val="bodytext1"/>
          <w:color w:val="000000"/>
          <w:lang w:val="ro-MD"/>
        </w:rPr>
        <w:t>e nr. 181/2014</w:t>
      </w:r>
      <w:r w:rsidRPr="00312485">
        <w:rPr>
          <w:rStyle w:val="bodytext1"/>
          <w:color w:val="000000"/>
          <w:lang w:val="ro-MD"/>
        </w:rPr>
        <w:t>, care prevede că deficitul anual al bugetul public național, excluzând granturile, să nu depășească 2,5% din PIB. </w:t>
      </w:r>
      <w:r w:rsidR="00506C2C" w:rsidRPr="00312485">
        <w:rPr>
          <w:color w:val="000000"/>
          <w:lang w:val="ro-MD"/>
        </w:rPr>
        <w:t>Depășirea nivelului-limită al deficitului bugetului public național se permite în condițiile existenței surselor reale de finanțare a proiectelor de investiții capitale finanțate din surse externe și a capacităților de valorificare a acestora.</w:t>
      </w:r>
    </w:p>
    <w:p w14:paraId="54B8DD1F" w14:textId="117DDE8D" w:rsidR="00777D4F" w:rsidRPr="00312485" w:rsidRDefault="00777D4F" w:rsidP="00777D4F">
      <w:pPr>
        <w:pStyle w:val="Numberedtex"/>
        <w:numPr>
          <w:ilvl w:val="0"/>
          <w:numId w:val="0"/>
        </w:numPr>
        <w:tabs>
          <w:tab w:val="clear" w:pos="403"/>
          <w:tab w:val="left" w:pos="993"/>
        </w:tabs>
        <w:spacing w:before="0" w:after="100" w:afterAutospacing="1" w:line="240" w:lineRule="auto"/>
        <w:ind w:firstLine="709"/>
        <w:contextualSpacing/>
        <w:rPr>
          <w:rFonts w:ascii="Times New Roman" w:hAnsi="Times New Roman"/>
          <w:sz w:val="24"/>
          <w:szCs w:val="28"/>
          <w:lang w:val="ro-MD"/>
        </w:rPr>
      </w:pPr>
      <w:r w:rsidRPr="00312485">
        <w:rPr>
          <w:rFonts w:ascii="Times New Roman" w:hAnsi="Times New Roman"/>
          <w:sz w:val="24"/>
          <w:szCs w:val="24"/>
          <w:lang w:val="ro-MD" w:eastAsia="ru-RU"/>
        </w:rPr>
        <w:t>Urmare a includerii priorităților de politici publice reflectate în documentele de politici pe termen mediu, soldul bugetar negativ al bugetului public național pe termen mediu se estimează la 5,4% din PIB în 2026, 5,3% din PIB în 2027 și 4,2% în PIB – în 2028.</w:t>
      </w:r>
    </w:p>
    <w:p w14:paraId="5307D3B7" w14:textId="3CE925BE" w:rsidR="00777D4F" w:rsidRPr="00312485" w:rsidRDefault="00777D4F" w:rsidP="00777D4F">
      <w:pPr>
        <w:pStyle w:val="Numberedtex"/>
        <w:numPr>
          <w:ilvl w:val="0"/>
          <w:numId w:val="0"/>
        </w:numPr>
        <w:tabs>
          <w:tab w:val="clear" w:pos="403"/>
          <w:tab w:val="left" w:pos="993"/>
        </w:tabs>
        <w:spacing w:before="0" w:after="100" w:afterAutospacing="1" w:line="240" w:lineRule="auto"/>
        <w:ind w:firstLine="709"/>
        <w:contextualSpacing/>
        <w:rPr>
          <w:rFonts w:ascii="Times New Roman" w:hAnsi="Times New Roman"/>
          <w:sz w:val="24"/>
          <w:szCs w:val="28"/>
          <w:lang w:val="ro-MD"/>
        </w:rPr>
      </w:pPr>
      <w:r w:rsidRPr="00312485">
        <w:rPr>
          <w:rFonts w:ascii="Times New Roman" w:hAnsi="Times New Roman"/>
          <w:sz w:val="24"/>
          <w:szCs w:val="28"/>
          <w:lang w:val="ro-MD"/>
        </w:rPr>
        <w:t>În acest context</w:t>
      </w:r>
      <w:r w:rsidRPr="00312485">
        <w:rPr>
          <w:rFonts w:ascii="Times New Roman" w:hAnsi="Times New Roman"/>
          <w:sz w:val="24"/>
          <w:szCs w:val="28"/>
          <w:lang w:val="ro-MD" w:eastAsia="ru-RU"/>
        </w:rPr>
        <w:t xml:space="preserve">, </w:t>
      </w:r>
      <w:r w:rsidRPr="00312485">
        <w:rPr>
          <w:rFonts w:ascii="Times New Roman" w:hAnsi="Times New Roman"/>
          <w:sz w:val="24"/>
          <w:szCs w:val="28"/>
          <w:lang w:val="ro-MD"/>
        </w:rPr>
        <w:t xml:space="preserve">la estimarea soldului bugetului public național (deficit) pentru anii 2026-2028 a fost utilizată clauza de derogare de la regula bugetar-fiscală conform prevederilor art.15 alin. (1) al Legii finanțelor publice și responsabilității bugetar-fiscale nr. 181/2014, care admite depășirea nivelului limită al deficitului de la regula bugetar-fiscală în condițiile existenței surselor reale de finanțare a proiectelor de investiții capitale finanțate din surse externe. Punerea în aplicare a clauzei de derogare va permite Guvernului să finanțeze proiecte de investiții capitale cu condiția ca aceste proiecte să fie finanțate din surse externe (tabelul </w:t>
      </w:r>
      <w:r w:rsidR="00234D17" w:rsidRPr="00312485">
        <w:rPr>
          <w:rFonts w:ascii="Times New Roman" w:hAnsi="Times New Roman"/>
          <w:sz w:val="24"/>
          <w:szCs w:val="28"/>
          <w:lang w:val="ro-MD"/>
        </w:rPr>
        <w:t>5</w:t>
      </w:r>
      <w:r w:rsidRPr="00312485">
        <w:rPr>
          <w:rFonts w:ascii="Times New Roman" w:hAnsi="Times New Roman"/>
          <w:sz w:val="24"/>
          <w:szCs w:val="28"/>
          <w:lang w:val="ro-MD"/>
        </w:rPr>
        <w:t>.4).</w:t>
      </w:r>
    </w:p>
    <w:p w14:paraId="6E51EB12" w14:textId="6AB741DA" w:rsidR="00777D4F" w:rsidRPr="00312485" w:rsidRDefault="00777D4F" w:rsidP="00777D4F">
      <w:pPr>
        <w:tabs>
          <w:tab w:val="left" w:pos="993"/>
        </w:tabs>
        <w:ind w:firstLine="0"/>
        <w:jc w:val="right"/>
        <w:rPr>
          <w:rFonts w:eastAsia="Calibri"/>
          <w:b/>
          <w:sz w:val="16"/>
          <w:szCs w:val="18"/>
          <w:lang w:val="ro-MD"/>
        </w:rPr>
      </w:pPr>
      <w:r w:rsidRPr="00312485">
        <w:rPr>
          <w:rFonts w:eastAsia="Calibri"/>
          <w:b/>
          <w:sz w:val="22"/>
          <w:szCs w:val="24"/>
          <w:lang w:val="ro-MD"/>
        </w:rPr>
        <w:t xml:space="preserve">Tabelul </w:t>
      </w:r>
      <w:r w:rsidR="00234D17" w:rsidRPr="00312485">
        <w:rPr>
          <w:rFonts w:eastAsia="Calibri"/>
          <w:b/>
          <w:sz w:val="22"/>
          <w:szCs w:val="24"/>
          <w:lang w:val="ro-MD"/>
        </w:rPr>
        <w:t>5</w:t>
      </w:r>
      <w:r w:rsidRPr="00312485">
        <w:rPr>
          <w:rFonts w:eastAsia="Calibri"/>
          <w:b/>
          <w:sz w:val="22"/>
          <w:szCs w:val="24"/>
          <w:lang w:val="ro-MD"/>
        </w:rPr>
        <w:t>.4</w:t>
      </w:r>
      <w:r w:rsidRPr="00312485">
        <w:rPr>
          <w:rFonts w:eastAsia="Calibri"/>
          <w:b/>
          <w:szCs w:val="18"/>
          <w:lang w:val="ro-MD"/>
        </w:rPr>
        <w:t xml:space="preserve"> </w:t>
      </w:r>
    </w:p>
    <w:p w14:paraId="57B3F857" w14:textId="77777777" w:rsidR="00777D4F" w:rsidRPr="00312485" w:rsidRDefault="00777D4F" w:rsidP="00777D4F">
      <w:pPr>
        <w:tabs>
          <w:tab w:val="left" w:pos="993"/>
        </w:tabs>
        <w:ind w:firstLine="0"/>
        <w:jc w:val="center"/>
        <w:rPr>
          <w:rFonts w:eastAsia="Calibri"/>
          <w:b/>
          <w:sz w:val="24"/>
          <w:szCs w:val="24"/>
          <w:lang w:val="ro-MD"/>
        </w:rPr>
      </w:pPr>
      <w:r w:rsidRPr="00312485">
        <w:rPr>
          <w:rFonts w:eastAsia="Calibri"/>
          <w:b/>
          <w:sz w:val="24"/>
          <w:szCs w:val="24"/>
          <w:lang w:val="ro-MD"/>
        </w:rPr>
        <w:t>Concordanța cu regula bugetar-fiscală</w:t>
      </w:r>
    </w:p>
    <w:p w14:paraId="2E4B038A" w14:textId="77777777" w:rsidR="00777D4F" w:rsidRPr="00312485" w:rsidRDefault="00777D4F" w:rsidP="00777D4F">
      <w:pPr>
        <w:tabs>
          <w:tab w:val="left" w:pos="993"/>
        </w:tabs>
        <w:ind w:firstLine="0"/>
        <w:jc w:val="right"/>
        <w:rPr>
          <w:rFonts w:eastAsia="Calibri"/>
          <w:b/>
          <w:sz w:val="22"/>
          <w:szCs w:val="18"/>
          <w:lang w:val="ro-MD"/>
        </w:rPr>
      </w:pPr>
      <w:r w:rsidRPr="00312485">
        <w:rPr>
          <w:rFonts w:eastAsia="Calibri"/>
          <w:b/>
          <w:color w:val="000000"/>
          <w:sz w:val="16"/>
          <w:szCs w:val="18"/>
          <w:lang w:val="ro-MD" w:eastAsia="ro-RO"/>
        </w:rPr>
        <w:t xml:space="preserve">                     </w:t>
      </w:r>
      <w:r w:rsidRPr="00312485">
        <w:rPr>
          <w:rFonts w:eastAsia="Calibri"/>
          <w:color w:val="000000"/>
          <w:sz w:val="16"/>
          <w:szCs w:val="18"/>
          <w:lang w:val="ro-MD" w:eastAsia="ro-RO"/>
        </w:rPr>
        <w:t>(% din PIB)</w:t>
      </w:r>
    </w:p>
    <w:tbl>
      <w:tblPr>
        <w:tblStyle w:val="Tabelgril1"/>
        <w:tblW w:w="5081" w:type="pct"/>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8"/>
        <w:gridCol w:w="1358"/>
        <w:gridCol w:w="1109"/>
        <w:gridCol w:w="1108"/>
        <w:gridCol w:w="1108"/>
        <w:gridCol w:w="1106"/>
      </w:tblGrid>
      <w:tr w:rsidR="00777D4F" w:rsidRPr="00312485" w14:paraId="6F4BEF73" w14:textId="77777777" w:rsidTr="00F80C45">
        <w:trPr>
          <w:tblHeader/>
        </w:trPr>
        <w:tc>
          <w:tcPr>
            <w:tcW w:w="1875" w:type="pct"/>
            <w:vMerge w:val="restart"/>
            <w:tcBorders>
              <w:top w:val="single" w:sz="4" w:space="0" w:color="auto"/>
              <w:left w:val="single" w:sz="4" w:space="0" w:color="auto"/>
              <w:right w:val="single" w:sz="4" w:space="0" w:color="auto"/>
            </w:tcBorders>
          </w:tcPr>
          <w:p w14:paraId="0ED3881F" w14:textId="77777777" w:rsidR="00777D4F" w:rsidRPr="00312485" w:rsidRDefault="00777D4F" w:rsidP="000E2A7E">
            <w:pPr>
              <w:rPr>
                <w:sz w:val="16"/>
                <w:szCs w:val="16"/>
                <w:lang w:val="ro-MD"/>
              </w:rPr>
            </w:pPr>
          </w:p>
        </w:tc>
        <w:tc>
          <w:tcPr>
            <w:tcW w:w="732" w:type="pct"/>
            <w:tcBorders>
              <w:top w:val="single" w:sz="4" w:space="0" w:color="auto"/>
              <w:left w:val="single" w:sz="4" w:space="0" w:color="auto"/>
            </w:tcBorders>
          </w:tcPr>
          <w:p w14:paraId="6419CF92" w14:textId="77777777" w:rsidR="00777D4F" w:rsidRPr="00312485" w:rsidRDefault="00777D4F" w:rsidP="000E2A7E">
            <w:pPr>
              <w:jc w:val="center"/>
              <w:rPr>
                <w:b/>
                <w:sz w:val="16"/>
                <w:szCs w:val="16"/>
                <w:lang w:val="ro-MD"/>
              </w:rPr>
            </w:pPr>
            <w:r w:rsidRPr="00312485">
              <w:rPr>
                <w:b/>
                <w:sz w:val="16"/>
                <w:szCs w:val="16"/>
                <w:lang w:val="ro-MD"/>
              </w:rPr>
              <w:t>2025</w:t>
            </w:r>
          </w:p>
        </w:tc>
        <w:tc>
          <w:tcPr>
            <w:tcW w:w="598" w:type="pct"/>
            <w:tcBorders>
              <w:top w:val="single" w:sz="4" w:space="0" w:color="auto"/>
            </w:tcBorders>
          </w:tcPr>
          <w:p w14:paraId="4D3D0ABA" w14:textId="77777777" w:rsidR="00777D4F" w:rsidRPr="00312485" w:rsidRDefault="00777D4F" w:rsidP="000E2A7E">
            <w:pPr>
              <w:jc w:val="center"/>
              <w:rPr>
                <w:b/>
                <w:sz w:val="16"/>
                <w:szCs w:val="16"/>
                <w:lang w:val="ro-MD"/>
              </w:rPr>
            </w:pPr>
            <w:r w:rsidRPr="00312485">
              <w:rPr>
                <w:b/>
                <w:sz w:val="16"/>
                <w:szCs w:val="16"/>
                <w:lang w:val="ro-MD"/>
              </w:rPr>
              <w:t>2025</w:t>
            </w:r>
          </w:p>
        </w:tc>
        <w:tc>
          <w:tcPr>
            <w:tcW w:w="598" w:type="pct"/>
            <w:tcBorders>
              <w:top w:val="single" w:sz="4" w:space="0" w:color="auto"/>
            </w:tcBorders>
          </w:tcPr>
          <w:p w14:paraId="39D1509F" w14:textId="77777777" w:rsidR="00777D4F" w:rsidRPr="00312485" w:rsidRDefault="00777D4F" w:rsidP="000E2A7E">
            <w:pPr>
              <w:jc w:val="center"/>
              <w:rPr>
                <w:b/>
                <w:sz w:val="16"/>
                <w:szCs w:val="16"/>
                <w:lang w:val="ro-MD"/>
              </w:rPr>
            </w:pPr>
            <w:r w:rsidRPr="00312485">
              <w:rPr>
                <w:b/>
                <w:sz w:val="16"/>
                <w:szCs w:val="16"/>
                <w:lang w:val="ro-MD"/>
              </w:rPr>
              <w:t>2026</w:t>
            </w:r>
          </w:p>
        </w:tc>
        <w:tc>
          <w:tcPr>
            <w:tcW w:w="598" w:type="pct"/>
            <w:tcBorders>
              <w:top w:val="single" w:sz="4" w:space="0" w:color="auto"/>
            </w:tcBorders>
          </w:tcPr>
          <w:p w14:paraId="2E0EAF71" w14:textId="77777777" w:rsidR="00777D4F" w:rsidRPr="00312485" w:rsidRDefault="00777D4F" w:rsidP="000E2A7E">
            <w:pPr>
              <w:jc w:val="center"/>
              <w:rPr>
                <w:b/>
                <w:sz w:val="16"/>
                <w:szCs w:val="16"/>
                <w:lang w:val="ro-MD"/>
              </w:rPr>
            </w:pPr>
            <w:r w:rsidRPr="00312485">
              <w:rPr>
                <w:b/>
                <w:sz w:val="16"/>
                <w:szCs w:val="16"/>
                <w:lang w:val="ro-MD"/>
              </w:rPr>
              <w:t>2027</w:t>
            </w:r>
          </w:p>
        </w:tc>
        <w:tc>
          <w:tcPr>
            <w:tcW w:w="597" w:type="pct"/>
            <w:tcBorders>
              <w:top w:val="single" w:sz="4" w:space="0" w:color="auto"/>
              <w:right w:val="single" w:sz="4" w:space="0" w:color="auto"/>
            </w:tcBorders>
          </w:tcPr>
          <w:p w14:paraId="046D4710" w14:textId="77777777" w:rsidR="00777D4F" w:rsidRPr="00312485" w:rsidRDefault="00777D4F" w:rsidP="000E2A7E">
            <w:pPr>
              <w:jc w:val="center"/>
              <w:rPr>
                <w:b/>
                <w:sz w:val="16"/>
                <w:szCs w:val="16"/>
                <w:lang w:val="ro-MD"/>
              </w:rPr>
            </w:pPr>
            <w:r w:rsidRPr="00312485">
              <w:rPr>
                <w:b/>
                <w:sz w:val="16"/>
                <w:szCs w:val="16"/>
                <w:lang w:val="ro-MD"/>
              </w:rPr>
              <w:t>2028</w:t>
            </w:r>
          </w:p>
        </w:tc>
      </w:tr>
      <w:tr w:rsidR="00777D4F" w:rsidRPr="00312485" w14:paraId="5E22A5EC" w14:textId="77777777" w:rsidTr="00F80C45">
        <w:trPr>
          <w:tblHeader/>
        </w:trPr>
        <w:tc>
          <w:tcPr>
            <w:tcW w:w="1875" w:type="pct"/>
            <w:vMerge/>
            <w:tcBorders>
              <w:left w:val="single" w:sz="4" w:space="0" w:color="auto"/>
              <w:bottom w:val="single" w:sz="4" w:space="0" w:color="auto"/>
              <w:right w:val="single" w:sz="4" w:space="0" w:color="auto"/>
            </w:tcBorders>
          </w:tcPr>
          <w:p w14:paraId="4F2E0949" w14:textId="77777777" w:rsidR="00777D4F" w:rsidRPr="00312485" w:rsidRDefault="00777D4F" w:rsidP="000E2A7E">
            <w:pPr>
              <w:rPr>
                <w:sz w:val="16"/>
                <w:szCs w:val="16"/>
                <w:lang w:val="ro-MD"/>
              </w:rPr>
            </w:pPr>
          </w:p>
        </w:tc>
        <w:tc>
          <w:tcPr>
            <w:tcW w:w="732" w:type="pct"/>
            <w:tcBorders>
              <w:left w:val="single" w:sz="4" w:space="0" w:color="auto"/>
              <w:bottom w:val="single" w:sz="4" w:space="0" w:color="auto"/>
            </w:tcBorders>
          </w:tcPr>
          <w:p w14:paraId="34270EC3" w14:textId="77777777" w:rsidR="00777D4F" w:rsidRPr="00312485" w:rsidRDefault="00777D4F" w:rsidP="000E2A7E">
            <w:pPr>
              <w:jc w:val="center"/>
              <w:rPr>
                <w:b/>
                <w:sz w:val="16"/>
                <w:szCs w:val="16"/>
                <w:lang w:val="ro-MD"/>
              </w:rPr>
            </w:pPr>
            <w:r w:rsidRPr="00312485">
              <w:rPr>
                <w:b/>
                <w:sz w:val="16"/>
                <w:szCs w:val="16"/>
                <w:lang w:val="ro-MD"/>
              </w:rPr>
              <w:t>Aprobat</w:t>
            </w:r>
          </w:p>
        </w:tc>
        <w:tc>
          <w:tcPr>
            <w:tcW w:w="598" w:type="pct"/>
            <w:tcBorders>
              <w:bottom w:val="single" w:sz="4" w:space="0" w:color="auto"/>
            </w:tcBorders>
          </w:tcPr>
          <w:p w14:paraId="596E0F21" w14:textId="77777777" w:rsidR="00777D4F" w:rsidRPr="00312485" w:rsidRDefault="00777D4F" w:rsidP="000E2A7E">
            <w:pPr>
              <w:jc w:val="center"/>
              <w:rPr>
                <w:b/>
                <w:sz w:val="16"/>
                <w:szCs w:val="16"/>
                <w:lang w:val="ro-MD"/>
              </w:rPr>
            </w:pPr>
            <w:r w:rsidRPr="00312485">
              <w:rPr>
                <w:b/>
                <w:sz w:val="16"/>
                <w:szCs w:val="16"/>
                <w:lang w:val="ro-MD"/>
              </w:rPr>
              <w:t>Modificat</w:t>
            </w:r>
          </w:p>
        </w:tc>
        <w:tc>
          <w:tcPr>
            <w:tcW w:w="598" w:type="pct"/>
            <w:tcBorders>
              <w:bottom w:val="single" w:sz="4" w:space="0" w:color="auto"/>
            </w:tcBorders>
          </w:tcPr>
          <w:p w14:paraId="6E4738FB" w14:textId="77777777" w:rsidR="00777D4F" w:rsidRPr="00312485" w:rsidRDefault="00777D4F" w:rsidP="000E2A7E">
            <w:pPr>
              <w:jc w:val="center"/>
              <w:rPr>
                <w:b/>
                <w:sz w:val="16"/>
                <w:szCs w:val="16"/>
                <w:lang w:val="ro-MD"/>
              </w:rPr>
            </w:pPr>
            <w:r w:rsidRPr="00312485">
              <w:rPr>
                <w:b/>
                <w:sz w:val="16"/>
                <w:szCs w:val="16"/>
                <w:lang w:val="ro-MD"/>
              </w:rPr>
              <w:t>Prognozat</w:t>
            </w:r>
          </w:p>
        </w:tc>
        <w:tc>
          <w:tcPr>
            <w:tcW w:w="598" w:type="pct"/>
            <w:tcBorders>
              <w:bottom w:val="single" w:sz="4" w:space="0" w:color="auto"/>
            </w:tcBorders>
          </w:tcPr>
          <w:p w14:paraId="3D61E6C6" w14:textId="77777777" w:rsidR="00777D4F" w:rsidRPr="00312485" w:rsidRDefault="00777D4F" w:rsidP="000E2A7E">
            <w:pPr>
              <w:jc w:val="center"/>
              <w:rPr>
                <w:b/>
                <w:sz w:val="16"/>
                <w:szCs w:val="16"/>
                <w:lang w:val="ro-MD"/>
              </w:rPr>
            </w:pPr>
            <w:r w:rsidRPr="00312485">
              <w:rPr>
                <w:b/>
                <w:sz w:val="16"/>
                <w:szCs w:val="16"/>
                <w:lang w:val="ro-MD"/>
              </w:rPr>
              <w:t>Prognozat</w:t>
            </w:r>
          </w:p>
        </w:tc>
        <w:tc>
          <w:tcPr>
            <w:tcW w:w="597" w:type="pct"/>
            <w:tcBorders>
              <w:bottom w:val="single" w:sz="4" w:space="0" w:color="auto"/>
              <w:right w:val="single" w:sz="4" w:space="0" w:color="auto"/>
            </w:tcBorders>
          </w:tcPr>
          <w:p w14:paraId="6FDF21DA" w14:textId="77777777" w:rsidR="00777D4F" w:rsidRPr="00312485" w:rsidRDefault="00777D4F" w:rsidP="000E2A7E">
            <w:pPr>
              <w:jc w:val="center"/>
              <w:rPr>
                <w:b/>
                <w:sz w:val="16"/>
                <w:szCs w:val="16"/>
                <w:lang w:val="ro-MD"/>
              </w:rPr>
            </w:pPr>
            <w:r w:rsidRPr="00312485">
              <w:rPr>
                <w:b/>
                <w:sz w:val="16"/>
                <w:szCs w:val="16"/>
                <w:lang w:val="ro-MD"/>
              </w:rPr>
              <w:t>Prognozat</w:t>
            </w:r>
          </w:p>
        </w:tc>
      </w:tr>
      <w:tr w:rsidR="00777D4F" w:rsidRPr="00312485" w14:paraId="4854FCE7" w14:textId="77777777" w:rsidTr="000E2A7E">
        <w:trPr>
          <w:trHeight w:val="380"/>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72444724" w14:textId="77777777" w:rsidR="00777D4F" w:rsidRPr="00312485" w:rsidRDefault="00777D4F" w:rsidP="000E2A7E">
            <w:pPr>
              <w:rPr>
                <w:color w:val="000000"/>
                <w:sz w:val="16"/>
                <w:szCs w:val="16"/>
                <w:lang w:val="ro-MD" w:eastAsia="ro-RO"/>
              </w:rPr>
            </w:pPr>
            <w:r w:rsidRPr="00312485">
              <w:rPr>
                <w:b/>
                <w:bCs/>
                <w:color w:val="000000"/>
                <w:sz w:val="16"/>
                <w:szCs w:val="16"/>
                <w:lang w:val="ro-MD" w:eastAsia="ro-RO"/>
              </w:rPr>
              <w:t>I.1. Limita soldului BPN, excluzând granturile (</w:t>
            </w:r>
            <w:r w:rsidRPr="00312485">
              <w:rPr>
                <w:bCs/>
                <w:color w:val="000000"/>
                <w:sz w:val="16"/>
                <w:szCs w:val="16"/>
                <w:lang w:val="ro-MD" w:eastAsia="ro-RO"/>
              </w:rPr>
              <w:t>regula bugetar-fiscală</w:t>
            </w:r>
            <w:r w:rsidRPr="00312485">
              <w:rPr>
                <w:b/>
                <w:bCs/>
                <w:color w:val="000000"/>
                <w:sz w:val="16"/>
                <w:szCs w:val="16"/>
                <w:lang w:val="ro-MD" w:eastAsia="ro-RO"/>
              </w:rPr>
              <w:t xml:space="preserve">) </w:t>
            </w:r>
            <w:r w:rsidRPr="00312485">
              <w:rPr>
                <w:i/>
                <w:iCs/>
                <w:color w:val="000000"/>
                <w:sz w:val="16"/>
                <w:szCs w:val="16"/>
                <w:lang w:val="ro-MD" w:eastAsia="ro-RO"/>
              </w:rPr>
              <w:t>(informativ)</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406A2C4F" w14:textId="77777777" w:rsidR="00777D4F" w:rsidRPr="008A4B58" w:rsidRDefault="00777D4F" w:rsidP="000E2A7E">
            <w:pPr>
              <w:jc w:val="center"/>
              <w:rPr>
                <w:color w:val="000000"/>
                <w:sz w:val="18"/>
                <w:szCs w:val="16"/>
                <w:lang w:val="ro-MD" w:eastAsia="ro-RO"/>
              </w:rPr>
            </w:pPr>
            <w:r w:rsidRPr="008A4B58">
              <w:rPr>
                <w:b/>
                <w:bCs/>
                <w:color w:val="000000"/>
                <w:sz w:val="18"/>
                <w:szCs w:val="16"/>
                <w:lang w:val="ro-MD" w:eastAsia="ro-RO"/>
              </w:rPr>
              <w:t>2,5</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4432B2D5" w14:textId="77777777" w:rsidR="00777D4F" w:rsidRPr="008A4B58" w:rsidRDefault="00777D4F" w:rsidP="000E2A7E">
            <w:pPr>
              <w:jc w:val="center"/>
              <w:rPr>
                <w:color w:val="000000"/>
                <w:sz w:val="18"/>
                <w:szCs w:val="16"/>
                <w:lang w:val="ro-MD" w:eastAsia="ro-RO"/>
              </w:rPr>
            </w:pPr>
            <w:r w:rsidRPr="008A4B58">
              <w:rPr>
                <w:b/>
                <w:bCs/>
                <w:color w:val="000000"/>
                <w:sz w:val="18"/>
                <w:szCs w:val="16"/>
                <w:lang w:val="ro-MD" w:eastAsia="ro-RO"/>
              </w:rPr>
              <w:t>2,5</w:t>
            </w:r>
          </w:p>
        </w:tc>
        <w:tc>
          <w:tcPr>
            <w:tcW w:w="598" w:type="pct"/>
            <w:tcBorders>
              <w:top w:val="single" w:sz="4" w:space="0" w:color="auto"/>
              <w:left w:val="single" w:sz="4" w:space="0" w:color="auto"/>
              <w:bottom w:val="single" w:sz="4" w:space="0" w:color="auto"/>
              <w:right w:val="single" w:sz="4" w:space="0" w:color="auto"/>
            </w:tcBorders>
            <w:shd w:val="clear" w:color="000000" w:fill="FFFFFF"/>
          </w:tcPr>
          <w:p w14:paraId="680370F0" w14:textId="77777777" w:rsidR="00777D4F" w:rsidRPr="008A4B58" w:rsidRDefault="00777D4F" w:rsidP="000E2A7E">
            <w:pPr>
              <w:jc w:val="center"/>
              <w:rPr>
                <w:b/>
                <w:bCs/>
                <w:color w:val="000000"/>
                <w:sz w:val="18"/>
                <w:szCs w:val="16"/>
                <w:lang w:val="ro-MD" w:eastAsia="ro-RO"/>
              </w:rPr>
            </w:pPr>
          </w:p>
          <w:p w14:paraId="6710A60A"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2,5</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04BEBB55" w14:textId="77777777" w:rsidR="00777D4F" w:rsidRPr="008A4B58" w:rsidRDefault="00777D4F" w:rsidP="000E2A7E">
            <w:pPr>
              <w:jc w:val="center"/>
              <w:rPr>
                <w:color w:val="000000"/>
                <w:sz w:val="18"/>
                <w:szCs w:val="16"/>
                <w:lang w:val="ro-MD" w:eastAsia="ro-RO"/>
              </w:rPr>
            </w:pPr>
            <w:r w:rsidRPr="008A4B58">
              <w:rPr>
                <w:b/>
                <w:bCs/>
                <w:color w:val="000000"/>
                <w:sz w:val="18"/>
                <w:szCs w:val="16"/>
                <w:lang w:val="ro-MD" w:eastAsia="ro-RO"/>
              </w:rPr>
              <w:t>2,5</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24255C5C" w14:textId="77777777" w:rsidR="00777D4F" w:rsidRPr="008A4B58" w:rsidRDefault="00777D4F" w:rsidP="000E2A7E">
            <w:pPr>
              <w:jc w:val="center"/>
              <w:rPr>
                <w:color w:val="000000"/>
                <w:sz w:val="18"/>
                <w:szCs w:val="16"/>
                <w:lang w:val="ro-MD" w:eastAsia="ro-RO"/>
              </w:rPr>
            </w:pPr>
            <w:r w:rsidRPr="008A4B58">
              <w:rPr>
                <w:b/>
                <w:bCs/>
                <w:color w:val="000000"/>
                <w:sz w:val="18"/>
                <w:szCs w:val="16"/>
                <w:lang w:val="ro-MD" w:eastAsia="ro-RO"/>
              </w:rPr>
              <w:t>2,5</w:t>
            </w:r>
          </w:p>
        </w:tc>
      </w:tr>
      <w:tr w:rsidR="00777D4F" w:rsidRPr="00312485" w14:paraId="0F1F9CBF" w14:textId="77777777" w:rsidTr="000E2A7E">
        <w:trPr>
          <w:trHeight w:val="380"/>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7F770EB1" w14:textId="77777777" w:rsidR="00777D4F" w:rsidRPr="00312485" w:rsidRDefault="00777D4F" w:rsidP="000E2A7E">
            <w:pPr>
              <w:rPr>
                <w:b/>
                <w:color w:val="000000"/>
                <w:sz w:val="16"/>
                <w:szCs w:val="16"/>
                <w:lang w:val="ro-MD" w:eastAsia="ro-RO"/>
              </w:rPr>
            </w:pPr>
            <w:r w:rsidRPr="00312485">
              <w:rPr>
                <w:b/>
                <w:color w:val="000000"/>
                <w:sz w:val="16"/>
                <w:szCs w:val="16"/>
                <w:lang w:val="ro-MD" w:eastAsia="ro-RO"/>
              </w:rPr>
              <w:t>I.2. Derogarea utilizată de la regula bugetar-fiscală</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157BA845"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1,1</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43F31E3B"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1,2</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60DB9BFE"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1,5</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63FC41F4"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1,8</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5F7B0FF2"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1,8</w:t>
            </w:r>
          </w:p>
        </w:tc>
      </w:tr>
      <w:tr w:rsidR="00777D4F" w:rsidRPr="00312485" w14:paraId="087EAFF0" w14:textId="77777777" w:rsidTr="000E2A7E">
        <w:trPr>
          <w:trHeight w:val="380"/>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4ACCF918" w14:textId="77777777" w:rsidR="00777D4F" w:rsidRPr="00312485" w:rsidRDefault="00777D4F" w:rsidP="000E2A7E">
            <w:pPr>
              <w:rPr>
                <w:b/>
                <w:color w:val="000000"/>
                <w:sz w:val="16"/>
                <w:szCs w:val="16"/>
                <w:lang w:val="ro-MD" w:eastAsia="ro-RO"/>
              </w:rPr>
            </w:pPr>
            <w:r w:rsidRPr="00312485">
              <w:rPr>
                <w:b/>
                <w:bCs/>
                <w:color w:val="000000"/>
                <w:sz w:val="16"/>
                <w:szCs w:val="16"/>
                <w:lang w:val="ro-MD" w:eastAsia="ro-RO"/>
              </w:rPr>
              <w:t xml:space="preserve">I.3. Limita Soldului BPN cu utilizarea derogării </w:t>
            </w:r>
            <w:r w:rsidRPr="00312485">
              <w:rPr>
                <w:b/>
                <w:bCs/>
                <w:i/>
                <w:iCs/>
                <w:color w:val="000000"/>
                <w:sz w:val="16"/>
                <w:szCs w:val="16"/>
                <w:lang w:val="ro-MD" w:eastAsia="ro-RO"/>
              </w:rPr>
              <w:t>(</w:t>
            </w:r>
            <w:r w:rsidRPr="00312485">
              <w:rPr>
                <w:bCs/>
                <w:i/>
                <w:iCs/>
                <w:color w:val="000000"/>
                <w:sz w:val="16"/>
                <w:szCs w:val="16"/>
                <w:lang w:val="ro-MD" w:eastAsia="ro-RO"/>
              </w:rPr>
              <w:t>I.1+I.2</w:t>
            </w:r>
            <w:r w:rsidRPr="00312485">
              <w:rPr>
                <w:b/>
                <w:bCs/>
                <w:i/>
                <w:iCs/>
                <w:color w:val="000000"/>
                <w:sz w:val="16"/>
                <w:szCs w:val="16"/>
                <w:lang w:val="ro-MD" w:eastAsia="ro-RO"/>
              </w:rPr>
              <w:t>)</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347CDFEB" w14:textId="77777777" w:rsidR="00777D4F" w:rsidRPr="008A4B58" w:rsidRDefault="00777D4F" w:rsidP="000E2A7E">
            <w:pPr>
              <w:jc w:val="center"/>
              <w:rPr>
                <w:b/>
                <w:color w:val="000000"/>
                <w:sz w:val="18"/>
                <w:szCs w:val="16"/>
                <w:lang w:val="ro-MD" w:eastAsia="ro-RO"/>
              </w:rPr>
            </w:pPr>
            <w:r w:rsidRPr="008A4B58">
              <w:rPr>
                <w:b/>
                <w:bCs/>
                <w:color w:val="000000"/>
                <w:sz w:val="18"/>
                <w:szCs w:val="16"/>
                <w:lang w:val="ro-MD" w:eastAsia="ro-RO"/>
              </w:rPr>
              <w:t>3,6</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35A6F7D0" w14:textId="77777777" w:rsidR="00777D4F" w:rsidRPr="008A4B58" w:rsidRDefault="00777D4F" w:rsidP="000E2A7E">
            <w:pPr>
              <w:jc w:val="center"/>
              <w:rPr>
                <w:b/>
                <w:color w:val="000000"/>
                <w:sz w:val="18"/>
                <w:szCs w:val="16"/>
                <w:lang w:val="ro-MD" w:eastAsia="ro-RO"/>
              </w:rPr>
            </w:pPr>
            <w:r w:rsidRPr="008A4B58">
              <w:rPr>
                <w:b/>
                <w:bCs/>
                <w:color w:val="000000"/>
                <w:sz w:val="18"/>
                <w:szCs w:val="16"/>
                <w:lang w:val="ro-MD" w:eastAsia="ro-RO"/>
              </w:rPr>
              <w:t>3,7</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617DBE4D"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4,0</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2FFA84B6" w14:textId="77777777" w:rsidR="00777D4F" w:rsidRPr="008A4B58" w:rsidRDefault="00777D4F" w:rsidP="000E2A7E">
            <w:pPr>
              <w:jc w:val="center"/>
              <w:rPr>
                <w:b/>
                <w:color w:val="000000"/>
                <w:sz w:val="18"/>
                <w:szCs w:val="16"/>
                <w:lang w:val="ro-MD" w:eastAsia="ro-RO"/>
              </w:rPr>
            </w:pPr>
            <w:r w:rsidRPr="008A4B58">
              <w:rPr>
                <w:b/>
                <w:bCs/>
                <w:color w:val="000000"/>
                <w:sz w:val="18"/>
                <w:szCs w:val="16"/>
                <w:lang w:val="ro-MD" w:eastAsia="ro-RO"/>
              </w:rPr>
              <w:t>4,3</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38C213CF" w14:textId="77777777" w:rsidR="00777D4F" w:rsidRPr="008A4B58" w:rsidRDefault="00777D4F" w:rsidP="000E2A7E">
            <w:pPr>
              <w:jc w:val="center"/>
              <w:rPr>
                <w:b/>
                <w:color w:val="000000"/>
                <w:sz w:val="18"/>
                <w:szCs w:val="16"/>
                <w:lang w:val="ro-MD" w:eastAsia="ro-RO"/>
              </w:rPr>
            </w:pPr>
            <w:r w:rsidRPr="008A4B58">
              <w:rPr>
                <w:b/>
                <w:bCs/>
                <w:color w:val="000000"/>
                <w:sz w:val="18"/>
                <w:szCs w:val="16"/>
                <w:lang w:val="ro-MD" w:eastAsia="ro-RO"/>
              </w:rPr>
              <w:t>4,3</w:t>
            </w:r>
          </w:p>
        </w:tc>
      </w:tr>
      <w:tr w:rsidR="00777D4F" w:rsidRPr="00312485" w14:paraId="4A37A6BE" w14:textId="77777777" w:rsidTr="00497CA7">
        <w:trPr>
          <w:trHeight w:val="267"/>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7F304574" w14:textId="77777777" w:rsidR="00777D4F" w:rsidRPr="00312485" w:rsidRDefault="00777D4F" w:rsidP="000E2A7E">
            <w:pPr>
              <w:rPr>
                <w:iCs/>
                <w:color w:val="000000"/>
                <w:sz w:val="16"/>
                <w:szCs w:val="16"/>
                <w:lang w:val="ro-MD" w:eastAsia="ro-RO"/>
              </w:rPr>
            </w:pPr>
            <w:r w:rsidRPr="00312485">
              <w:rPr>
                <w:b/>
                <w:iCs/>
                <w:color w:val="000000"/>
                <w:sz w:val="16"/>
                <w:szCs w:val="16"/>
                <w:lang w:val="ro-MD" w:eastAsia="ro-RO"/>
              </w:rPr>
              <w:t>II.1.</w:t>
            </w:r>
            <w:r w:rsidRPr="00312485">
              <w:rPr>
                <w:iCs/>
                <w:color w:val="000000"/>
                <w:sz w:val="16"/>
                <w:szCs w:val="16"/>
                <w:lang w:val="ro-MD" w:eastAsia="ro-RO"/>
              </w:rPr>
              <w:t xml:space="preserve"> </w:t>
            </w:r>
            <w:r w:rsidRPr="00312485">
              <w:rPr>
                <w:b/>
                <w:bCs/>
                <w:color w:val="000000"/>
                <w:sz w:val="16"/>
                <w:szCs w:val="16"/>
                <w:lang w:val="ro-MD" w:eastAsia="ro-RO"/>
              </w:rPr>
              <w:t xml:space="preserve">Soldul BPN </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79E566FA" w14:textId="77777777" w:rsidR="00777D4F" w:rsidRPr="008A4B58" w:rsidRDefault="00777D4F" w:rsidP="000E2A7E">
            <w:pPr>
              <w:jc w:val="center"/>
              <w:rPr>
                <w:b/>
                <w:iCs/>
                <w:color w:val="000000"/>
                <w:sz w:val="18"/>
                <w:szCs w:val="16"/>
                <w:lang w:val="ro-MD" w:eastAsia="ro-RO"/>
              </w:rPr>
            </w:pPr>
            <w:r w:rsidRPr="008A4B58">
              <w:rPr>
                <w:b/>
                <w:bCs/>
                <w:color w:val="000000"/>
                <w:sz w:val="18"/>
                <w:szCs w:val="16"/>
                <w:lang w:val="ro-MD" w:eastAsia="ro-RO"/>
              </w:rPr>
              <w:t>4,0</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70AC7E20" w14:textId="77777777" w:rsidR="00777D4F" w:rsidRPr="008A4B58" w:rsidRDefault="00777D4F" w:rsidP="000E2A7E">
            <w:pPr>
              <w:jc w:val="center"/>
              <w:rPr>
                <w:b/>
                <w:iCs/>
                <w:color w:val="000000"/>
                <w:sz w:val="18"/>
                <w:szCs w:val="16"/>
                <w:lang w:val="ro-MD" w:eastAsia="ro-RO"/>
              </w:rPr>
            </w:pPr>
            <w:r w:rsidRPr="008A4B58">
              <w:rPr>
                <w:b/>
                <w:bCs/>
                <w:color w:val="000000"/>
                <w:sz w:val="18"/>
                <w:szCs w:val="16"/>
                <w:lang w:val="ro-MD" w:eastAsia="ro-RO"/>
              </w:rPr>
              <w:t>5,2</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246F94D4"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5,4</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67AD3E96" w14:textId="77777777" w:rsidR="00777D4F" w:rsidRPr="008A4B58" w:rsidRDefault="00777D4F" w:rsidP="000E2A7E">
            <w:pPr>
              <w:jc w:val="center"/>
              <w:rPr>
                <w:b/>
                <w:iCs/>
                <w:color w:val="000000"/>
                <w:sz w:val="18"/>
                <w:szCs w:val="16"/>
                <w:lang w:val="ro-MD" w:eastAsia="ro-RO"/>
              </w:rPr>
            </w:pPr>
            <w:r w:rsidRPr="008A4B58">
              <w:rPr>
                <w:b/>
                <w:bCs/>
                <w:color w:val="000000"/>
                <w:sz w:val="18"/>
                <w:szCs w:val="16"/>
                <w:lang w:val="ro-MD" w:eastAsia="ro-RO"/>
              </w:rPr>
              <w:t>5,3</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7C46FBD2" w14:textId="77777777" w:rsidR="00777D4F" w:rsidRPr="008A4B58" w:rsidRDefault="00777D4F" w:rsidP="000E2A7E">
            <w:pPr>
              <w:jc w:val="center"/>
              <w:rPr>
                <w:b/>
                <w:iCs/>
                <w:color w:val="000000"/>
                <w:sz w:val="18"/>
                <w:szCs w:val="16"/>
                <w:lang w:val="ro-MD" w:eastAsia="ro-RO"/>
              </w:rPr>
            </w:pPr>
            <w:r w:rsidRPr="008A4B58">
              <w:rPr>
                <w:b/>
                <w:bCs/>
                <w:color w:val="000000"/>
                <w:sz w:val="18"/>
                <w:szCs w:val="16"/>
                <w:lang w:val="ro-MD" w:eastAsia="ro-RO"/>
              </w:rPr>
              <w:t>4,2</w:t>
            </w:r>
          </w:p>
        </w:tc>
      </w:tr>
      <w:tr w:rsidR="00777D4F" w:rsidRPr="00312485" w14:paraId="16A8CBAB" w14:textId="77777777" w:rsidTr="00497CA7">
        <w:trPr>
          <w:trHeight w:val="288"/>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54049FD0" w14:textId="77777777" w:rsidR="00777D4F" w:rsidRPr="00312485" w:rsidRDefault="00777D4F" w:rsidP="000E2A7E">
            <w:pPr>
              <w:rPr>
                <w:b/>
                <w:color w:val="000000"/>
                <w:sz w:val="16"/>
                <w:szCs w:val="16"/>
                <w:lang w:val="ro-MD" w:eastAsia="ro-RO"/>
              </w:rPr>
            </w:pPr>
            <w:r w:rsidRPr="00312485">
              <w:rPr>
                <w:b/>
                <w:color w:val="000000"/>
                <w:sz w:val="16"/>
                <w:szCs w:val="16"/>
                <w:lang w:val="ro-MD" w:eastAsia="ro-RO"/>
              </w:rPr>
              <w:t>II.2. Granturi</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5073D1C4"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0,4</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064338EE"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1,4</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5BEBA514"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0,4</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7A28C6F4"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0,3</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096584EA" w14:textId="77777777" w:rsidR="00777D4F" w:rsidRPr="008A4B58" w:rsidRDefault="00777D4F" w:rsidP="000E2A7E">
            <w:pPr>
              <w:jc w:val="center"/>
              <w:rPr>
                <w:b/>
                <w:color w:val="000000"/>
                <w:sz w:val="18"/>
                <w:szCs w:val="16"/>
                <w:lang w:val="ro-MD" w:eastAsia="ro-RO"/>
              </w:rPr>
            </w:pPr>
            <w:r w:rsidRPr="008A4B58">
              <w:rPr>
                <w:b/>
                <w:color w:val="000000"/>
                <w:sz w:val="18"/>
                <w:szCs w:val="16"/>
                <w:lang w:val="ro-MD" w:eastAsia="ro-RO"/>
              </w:rPr>
              <w:t>0,1</w:t>
            </w:r>
          </w:p>
        </w:tc>
      </w:tr>
      <w:tr w:rsidR="00777D4F" w:rsidRPr="00312485" w14:paraId="70627FE4" w14:textId="77777777" w:rsidTr="00497CA7">
        <w:trPr>
          <w:trHeight w:val="335"/>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649A1D9C" w14:textId="77777777" w:rsidR="00777D4F" w:rsidRPr="00312485" w:rsidRDefault="00777D4F" w:rsidP="000E2A7E">
            <w:pPr>
              <w:rPr>
                <w:b/>
                <w:bCs/>
                <w:i/>
                <w:iCs/>
                <w:color w:val="000000"/>
                <w:sz w:val="16"/>
                <w:szCs w:val="16"/>
                <w:lang w:val="ro-MD" w:eastAsia="ro-RO"/>
              </w:rPr>
            </w:pPr>
            <w:r w:rsidRPr="00312485">
              <w:rPr>
                <w:b/>
                <w:bCs/>
                <w:color w:val="000000"/>
                <w:sz w:val="16"/>
                <w:szCs w:val="16"/>
                <w:lang w:val="ro-MD" w:eastAsia="ro-RO"/>
              </w:rPr>
              <w:t xml:space="preserve">II.3. Soldul BPN excluzând granturile </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076ED63F"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4,4</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421DE9EE"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6,6</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10A42E66"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5,8</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0594B7DB"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5,6</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355DF3E6"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4,3</w:t>
            </w:r>
          </w:p>
        </w:tc>
      </w:tr>
      <w:tr w:rsidR="00777D4F" w:rsidRPr="00312485" w14:paraId="45EE39BE" w14:textId="77777777" w:rsidTr="000E2A7E">
        <w:trPr>
          <w:trHeight w:val="249"/>
        </w:trPr>
        <w:tc>
          <w:tcPr>
            <w:tcW w:w="1875" w:type="pct"/>
            <w:tcBorders>
              <w:top w:val="single" w:sz="4" w:space="0" w:color="auto"/>
              <w:left w:val="single" w:sz="4" w:space="0" w:color="auto"/>
              <w:bottom w:val="single" w:sz="4" w:space="0" w:color="auto"/>
              <w:right w:val="single" w:sz="4" w:space="0" w:color="auto"/>
            </w:tcBorders>
            <w:shd w:val="clear" w:color="000000" w:fill="FFFFFF"/>
            <w:vAlign w:val="center"/>
          </w:tcPr>
          <w:p w14:paraId="0DD136A8" w14:textId="1E7B1370" w:rsidR="00777D4F" w:rsidRPr="00312485" w:rsidRDefault="00777D4F" w:rsidP="000E2A7E">
            <w:pPr>
              <w:rPr>
                <w:color w:val="000000"/>
                <w:sz w:val="16"/>
                <w:szCs w:val="16"/>
                <w:lang w:val="ro-MD" w:eastAsia="ro-RO"/>
              </w:rPr>
            </w:pPr>
            <w:r w:rsidRPr="00312485">
              <w:rPr>
                <w:color w:val="000000"/>
                <w:sz w:val="16"/>
                <w:szCs w:val="16"/>
                <w:lang w:val="ro-MD" w:eastAsia="ro-RO"/>
              </w:rPr>
              <w:t>Depășirea (-)</w:t>
            </w:r>
            <w:r w:rsidR="00D212F2">
              <w:rPr>
                <w:color w:val="000000"/>
                <w:sz w:val="16"/>
                <w:szCs w:val="16"/>
                <w:lang w:val="ro-MD" w:eastAsia="ro-RO"/>
              </w:rPr>
              <w:t xml:space="preserve"> </w:t>
            </w:r>
            <w:r w:rsidRPr="00312485">
              <w:rPr>
                <w:color w:val="000000"/>
                <w:sz w:val="16"/>
                <w:szCs w:val="16"/>
                <w:lang w:val="ro-MD" w:eastAsia="ro-RO"/>
              </w:rPr>
              <w:t>/ corespunderea (+)</w:t>
            </w:r>
          </w:p>
        </w:tc>
        <w:tc>
          <w:tcPr>
            <w:tcW w:w="732" w:type="pct"/>
            <w:tcBorders>
              <w:top w:val="single" w:sz="4" w:space="0" w:color="auto"/>
              <w:left w:val="single" w:sz="4" w:space="0" w:color="auto"/>
              <w:bottom w:val="single" w:sz="4" w:space="0" w:color="auto"/>
              <w:right w:val="single" w:sz="4" w:space="0" w:color="auto"/>
            </w:tcBorders>
            <w:shd w:val="clear" w:color="000000" w:fill="FFFFFF"/>
            <w:vAlign w:val="center"/>
          </w:tcPr>
          <w:p w14:paraId="2E2A8301" w14:textId="77777777" w:rsidR="00777D4F" w:rsidRPr="008A4B58" w:rsidRDefault="00777D4F" w:rsidP="000E2A7E">
            <w:pPr>
              <w:jc w:val="center"/>
              <w:rPr>
                <w:color w:val="000000"/>
                <w:sz w:val="18"/>
                <w:szCs w:val="16"/>
                <w:lang w:val="ro-MD" w:eastAsia="ro-RO"/>
              </w:rPr>
            </w:pPr>
            <w:r w:rsidRPr="008A4B58">
              <w:rPr>
                <w:color w:val="000000"/>
                <w:sz w:val="18"/>
                <w:szCs w:val="16"/>
                <w:lang w:val="ro-MD" w:eastAsia="ro-RO"/>
              </w:rPr>
              <w:t>-0,8</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2FF08B24" w14:textId="77777777" w:rsidR="00777D4F" w:rsidRPr="008A4B58" w:rsidRDefault="00777D4F" w:rsidP="000E2A7E">
            <w:pPr>
              <w:jc w:val="center"/>
              <w:rPr>
                <w:color w:val="000000"/>
                <w:sz w:val="18"/>
                <w:szCs w:val="16"/>
                <w:lang w:val="ro-MD" w:eastAsia="ro-RO"/>
              </w:rPr>
            </w:pPr>
            <w:r w:rsidRPr="008A4B58">
              <w:rPr>
                <w:color w:val="000000"/>
                <w:sz w:val="18"/>
                <w:szCs w:val="16"/>
                <w:lang w:val="ro-MD" w:eastAsia="ro-RO"/>
              </w:rPr>
              <w:t>-2,9</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3A16AC62" w14:textId="77777777" w:rsidR="00777D4F" w:rsidRPr="008A4B58" w:rsidRDefault="00777D4F" w:rsidP="000E2A7E">
            <w:pPr>
              <w:jc w:val="center"/>
              <w:rPr>
                <w:color w:val="000000"/>
                <w:sz w:val="18"/>
                <w:szCs w:val="16"/>
                <w:lang w:val="ro-MD" w:eastAsia="ro-RO"/>
              </w:rPr>
            </w:pPr>
            <w:r w:rsidRPr="008A4B58">
              <w:rPr>
                <w:color w:val="000000"/>
                <w:sz w:val="18"/>
                <w:szCs w:val="16"/>
                <w:lang w:val="ro-MD" w:eastAsia="ro-RO"/>
              </w:rPr>
              <w:t>-1,8</w:t>
            </w:r>
          </w:p>
        </w:tc>
        <w:tc>
          <w:tcPr>
            <w:tcW w:w="598" w:type="pct"/>
            <w:tcBorders>
              <w:top w:val="single" w:sz="4" w:space="0" w:color="auto"/>
              <w:left w:val="single" w:sz="4" w:space="0" w:color="auto"/>
              <w:bottom w:val="single" w:sz="4" w:space="0" w:color="auto"/>
              <w:right w:val="single" w:sz="4" w:space="0" w:color="auto"/>
            </w:tcBorders>
            <w:shd w:val="clear" w:color="000000" w:fill="FFFFFF"/>
            <w:vAlign w:val="center"/>
          </w:tcPr>
          <w:p w14:paraId="12E0104F" w14:textId="77777777" w:rsidR="00777D4F" w:rsidRPr="008A4B58" w:rsidRDefault="00777D4F" w:rsidP="000E2A7E">
            <w:pPr>
              <w:jc w:val="center"/>
              <w:rPr>
                <w:color w:val="000000"/>
                <w:sz w:val="18"/>
                <w:szCs w:val="16"/>
                <w:lang w:val="ro-MD" w:eastAsia="ro-RO"/>
              </w:rPr>
            </w:pPr>
            <w:r w:rsidRPr="008A4B58">
              <w:rPr>
                <w:color w:val="000000"/>
                <w:sz w:val="18"/>
                <w:szCs w:val="16"/>
                <w:lang w:val="ro-MD" w:eastAsia="ro-RO"/>
              </w:rPr>
              <w:t>-1,3</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38DE5EF9" w14:textId="77777777" w:rsidR="00777D4F" w:rsidRPr="008A4B58" w:rsidRDefault="00777D4F" w:rsidP="000E2A7E">
            <w:pPr>
              <w:jc w:val="center"/>
              <w:rPr>
                <w:color w:val="000000"/>
                <w:sz w:val="18"/>
                <w:szCs w:val="16"/>
                <w:lang w:val="ro-MD" w:eastAsia="ro-RO"/>
              </w:rPr>
            </w:pPr>
            <w:r w:rsidRPr="008A4B58">
              <w:rPr>
                <w:color w:val="000000"/>
                <w:sz w:val="18"/>
                <w:szCs w:val="16"/>
                <w:lang w:val="ro-MD" w:eastAsia="ro-RO"/>
              </w:rPr>
              <w:t>-</w:t>
            </w:r>
          </w:p>
        </w:tc>
      </w:tr>
      <w:tr w:rsidR="00777D4F" w:rsidRPr="00312485" w14:paraId="47283979" w14:textId="77777777" w:rsidTr="00497CA7">
        <w:trPr>
          <w:trHeight w:val="639"/>
        </w:trPr>
        <w:tc>
          <w:tcPr>
            <w:tcW w:w="1875" w:type="pct"/>
            <w:tcBorders>
              <w:top w:val="single" w:sz="4" w:space="0" w:color="auto"/>
              <w:left w:val="single" w:sz="4" w:space="0" w:color="auto"/>
              <w:bottom w:val="single" w:sz="4" w:space="0" w:color="auto"/>
              <w:right w:val="single" w:sz="4" w:space="0" w:color="auto"/>
            </w:tcBorders>
            <w:shd w:val="clear" w:color="000000" w:fill="FFFFFF"/>
          </w:tcPr>
          <w:p w14:paraId="5F2A0C35" w14:textId="77777777" w:rsidR="00777D4F" w:rsidRPr="00312485" w:rsidRDefault="00777D4F" w:rsidP="000E2A7E">
            <w:pPr>
              <w:rPr>
                <w:bCs/>
                <w:i/>
                <w:color w:val="000000"/>
                <w:sz w:val="16"/>
                <w:szCs w:val="16"/>
                <w:lang w:val="ro-MD" w:eastAsia="ro-RO"/>
              </w:rPr>
            </w:pPr>
            <w:r w:rsidRPr="00312485">
              <w:rPr>
                <w:bCs/>
                <w:i/>
                <w:color w:val="000000"/>
                <w:sz w:val="16"/>
                <w:szCs w:val="16"/>
                <w:lang w:val="ro-MD" w:eastAsia="ro-RO"/>
              </w:rPr>
              <w:t>Informativ:</w:t>
            </w:r>
          </w:p>
          <w:p w14:paraId="6B233374" w14:textId="77777777" w:rsidR="00777D4F" w:rsidRPr="00312485" w:rsidRDefault="00777D4F" w:rsidP="000E2A7E">
            <w:pPr>
              <w:rPr>
                <w:b/>
                <w:bCs/>
                <w:color w:val="000000"/>
                <w:sz w:val="16"/>
                <w:szCs w:val="16"/>
                <w:lang w:val="ro-MD" w:eastAsia="ro-RO"/>
              </w:rPr>
            </w:pPr>
            <w:r w:rsidRPr="00312485">
              <w:rPr>
                <w:b/>
                <w:bCs/>
                <w:color w:val="000000"/>
                <w:sz w:val="16"/>
                <w:szCs w:val="16"/>
                <w:lang w:val="ro-MD" w:eastAsia="ro-RO"/>
              </w:rPr>
              <w:t>Cheltuielile proiectelor finanțate din surse externe, total    (</w:t>
            </w:r>
            <w:r w:rsidRPr="00312485">
              <w:rPr>
                <w:b/>
                <w:bCs/>
                <w:i/>
                <w:color w:val="000000"/>
                <w:sz w:val="16"/>
                <w:szCs w:val="16"/>
                <w:lang w:val="ro-MD" w:eastAsia="ro-RO"/>
              </w:rPr>
              <w:t>mil. lei</w:t>
            </w:r>
            <w:r w:rsidRPr="00312485">
              <w:rPr>
                <w:b/>
                <w:bCs/>
                <w:color w:val="000000"/>
                <w:sz w:val="16"/>
                <w:szCs w:val="16"/>
                <w:lang w:val="ro-MD" w:eastAsia="ro-RO"/>
              </w:rPr>
              <w:t>)</w:t>
            </w:r>
          </w:p>
        </w:tc>
        <w:tc>
          <w:tcPr>
            <w:tcW w:w="732" w:type="pct"/>
            <w:tcBorders>
              <w:top w:val="single" w:sz="4" w:space="0" w:color="auto"/>
              <w:left w:val="single" w:sz="4" w:space="0" w:color="auto"/>
              <w:bottom w:val="single" w:sz="4" w:space="0" w:color="auto"/>
              <w:right w:val="single" w:sz="4" w:space="0" w:color="auto"/>
            </w:tcBorders>
            <w:shd w:val="clear" w:color="000000" w:fill="FFFFFF"/>
          </w:tcPr>
          <w:p w14:paraId="4079E00D" w14:textId="77777777" w:rsidR="00777D4F" w:rsidRPr="008A4B58" w:rsidRDefault="00777D4F" w:rsidP="000E2A7E">
            <w:pPr>
              <w:ind w:left="-244" w:right="-143"/>
              <w:jc w:val="center"/>
              <w:rPr>
                <w:b/>
                <w:bCs/>
                <w:color w:val="000000"/>
                <w:sz w:val="18"/>
                <w:szCs w:val="16"/>
                <w:lang w:val="ro-MD" w:eastAsia="ro-RO"/>
              </w:rPr>
            </w:pPr>
            <w:r w:rsidRPr="008A4B58">
              <w:rPr>
                <w:b/>
                <w:bCs/>
                <w:color w:val="000000"/>
                <w:sz w:val="18"/>
                <w:szCs w:val="16"/>
                <w:lang w:val="ro-MD" w:eastAsia="ro-RO"/>
              </w:rPr>
              <w:t xml:space="preserve">  </w:t>
            </w:r>
          </w:p>
          <w:p w14:paraId="1E9536C1" w14:textId="77777777" w:rsidR="00777D4F" w:rsidRPr="008A4B58" w:rsidRDefault="00777D4F" w:rsidP="000E2A7E">
            <w:pPr>
              <w:ind w:left="-244" w:right="-143"/>
              <w:jc w:val="center"/>
              <w:rPr>
                <w:b/>
                <w:bCs/>
                <w:color w:val="000000"/>
                <w:sz w:val="18"/>
                <w:szCs w:val="16"/>
                <w:lang w:val="ro-MD" w:eastAsia="ro-RO"/>
              </w:rPr>
            </w:pPr>
            <w:r w:rsidRPr="008A4B58">
              <w:rPr>
                <w:b/>
                <w:bCs/>
                <w:color w:val="000000"/>
                <w:sz w:val="18"/>
                <w:szCs w:val="16"/>
                <w:lang w:val="ro-MD" w:eastAsia="ro-RO"/>
              </w:rPr>
              <w:t xml:space="preserve">  3 919</w:t>
            </w:r>
          </w:p>
          <w:p w14:paraId="5D625065" w14:textId="77777777" w:rsidR="00777D4F" w:rsidRPr="008A4B58" w:rsidRDefault="00777D4F" w:rsidP="000E2A7E">
            <w:pPr>
              <w:rPr>
                <w:b/>
                <w:bCs/>
                <w:color w:val="000000"/>
                <w:sz w:val="18"/>
                <w:szCs w:val="16"/>
                <w:lang w:val="ro-MD" w:eastAsia="ro-RO"/>
              </w:rPr>
            </w:pPr>
            <w:r w:rsidRPr="008A4B58">
              <w:rPr>
                <w:b/>
                <w:bCs/>
                <w:color w:val="000000"/>
                <w:sz w:val="18"/>
                <w:szCs w:val="16"/>
                <w:lang w:val="ro-MD" w:eastAsia="ro-RO"/>
              </w:rPr>
              <w:t xml:space="preserve">      </w:t>
            </w:r>
          </w:p>
        </w:tc>
        <w:tc>
          <w:tcPr>
            <w:tcW w:w="598" w:type="pct"/>
            <w:tcBorders>
              <w:top w:val="single" w:sz="4" w:space="0" w:color="auto"/>
              <w:left w:val="single" w:sz="4" w:space="0" w:color="auto"/>
              <w:bottom w:val="single" w:sz="4" w:space="0" w:color="auto"/>
              <w:right w:val="single" w:sz="4" w:space="0" w:color="auto"/>
            </w:tcBorders>
            <w:shd w:val="clear" w:color="000000" w:fill="FFFFFF"/>
          </w:tcPr>
          <w:p w14:paraId="1FB31B12" w14:textId="77777777" w:rsidR="00777D4F" w:rsidRPr="008A4B58" w:rsidRDefault="00777D4F" w:rsidP="000E2A7E">
            <w:pPr>
              <w:jc w:val="center"/>
              <w:rPr>
                <w:b/>
                <w:bCs/>
                <w:color w:val="000000"/>
                <w:sz w:val="18"/>
                <w:szCs w:val="16"/>
                <w:lang w:val="ro-MD" w:eastAsia="ro-RO"/>
              </w:rPr>
            </w:pPr>
          </w:p>
          <w:p w14:paraId="352235FD"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4 068</w:t>
            </w:r>
          </w:p>
        </w:tc>
        <w:tc>
          <w:tcPr>
            <w:tcW w:w="598" w:type="pct"/>
            <w:tcBorders>
              <w:top w:val="single" w:sz="4" w:space="0" w:color="auto"/>
              <w:left w:val="single" w:sz="4" w:space="0" w:color="auto"/>
              <w:bottom w:val="single" w:sz="4" w:space="0" w:color="auto"/>
              <w:right w:val="single" w:sz="4" w:space="0" w:color="auto"/>
            </w:tcBorders>
            <w:shd w:val="clear" w:color="000000" w:fill="FFFFFF"/>
          </w:tcPr>
          <w:p w14:paraId="7C7E0A71" w14:textId="77777777" w:rsidR="00777D4F" w:rsidRPr="008A4B58" w:rsidRDefault="00777D4F" w:rsidP="000E2A7E">
            <w:pPr>
              <w:jc w:val="center"/>
              <w:rPr>
                <w:b/>
                <w:bCs/>
                <w:color w:val="000000"/>
                <w:sz w:val="18"/>
                <w:szCs w:val="16"/>
                <w:lang w:val="ro-MD" w:eastAsia="ro-RO"/>
              </w:rPr>
            </w:pPr>
          </w:p>
          <w:p w14:paraId="0A638199"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5 852</w:t>
            </w:r>
          </w:p>
        </w:tc>
        <w:tc>
          <w:tcPr>
            <w:tcW w:w="598" w:type="pct"/>
            <w:tcBorders>
              <w:top w:val="single" w:sz="4" w:space="0" w:color="auto"/>
              <w:left w:val="single" w:sz="4" w:space="0" w:color="auto"/>
              <w:bottom w:val="single" w:sz="4" w:space="0" w:color="auto"/>
              <w:right w:val="single" w:sz="4" w:space="0" w:color="auto"/>
            </w:tcBorders>
            <w:shd w:val="clear" w:color="000000" w:fill="FFFFFF"/>
          </w:tcPr>
          <w:p w14:paraId="266F7777" w14:textId="77777777" w:rsidR="00777D4F" w:rsidRPr="008A4B58" w:rsidRDefault="00777D4F" w:rsidP="000E2A7E">
            <w:pPr>
              <w:jc w:val="center"/>
              <w:rPr>
                <w:b/>
                <w:bCs/>
                <w:color w:val="000000"/>
                <w:sz w:val="18"/>
                <w:szCs w:val="16"/>
                <w:lang w:val="ro-MD" w:eastAsia="ro-RO"/>
              </w:rPr>
            </w:pPr>
          </w:p>
          <w:p w14:paraId="1D46E281" w14:textId="77777777" w:rsidR="00777D4F" w:rsidRPr="008A4B58" w:rsidRDefault="00777D4F" w:rsidP="000E2A7E">
            <w:pPr>
              <w:rPr>
                <w:b/>
                <w:bCs/>
                <w:color w:val="000000"/>
                <w:sz w:val="18"/>
                <w:szCs w:val="16"/>
                <w:lang w:val="ro-MD" w:eastAsia="ro-RO"/>
              </w:rPr>
            </w:pPr>
            <w:r w:rsidRPr="008A4B58">
              <w:rPr>
                <w:b/>
                <w:bCs/>
                <w:color w:val="000000"/>
                <w:sz w:val="18"/>
                <w:szCs w:val="16"/>
                <w:lang w:val="ro-MD" w:eastAsia="ro-RO"/>
              </w:rPr>
              <w:t xml:space="preserve">       7 434</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436C3346" w14:textId="77777777" w:rsidR="00777D4F" w:rsidRPr="008A4B58" w:rsidRDefault="00777D4F" w:rsidP="000E2A7E">
            <w:pPr>
              <w:jc w:val="center"/>
              <w:rPr>
                <w:b/>
                <w:bCs/>
                <w:color w:val="000000"/>
                <w:sz w:val="18"/>
                <w:szCs w:val="16"/>
                <w:lang w:val="ro-MD" w:eastAsia="ro-RO"/>
              </w:rPr>
            </w:pPr>
          </w:p>
          <w:p w14:paraId="28F7D80D" w14:textId="77777777" w:rsidR="00777D4F" w:rsidRPr="008A4B58" w:rsidRDefault="00777D4F" w:rsidP="000E2A7E">
            <w:pPr>
              <w:jc w:val="center"/>
              <w:rPr>
                <w:b/>
                <w:bCs/>
                <w:color w:val="000000"/>
                <w:sz w:val="18"/>
                <w:szCs w:val="16"/>
                <w:lang w:val="ro-MD" w:eastAsia="ro-RO"/>
              </w:rPr>
            </w:pPr>
            <w:r w:rsidRPr="008A4B58">
              <w:rPr>
                <w:b/>
                <w:bCs/>
                <w:color w:val="000000"/>
                <w:sz w:val="18"/>
                <w:szCs w:val="16"/>
                <w:lang w:val="ro-MD" w:eastAsia="ro-RO"/>
              </w:rPr>
              <w:t>7 814</w:t>
            </w:r>
          </w:p>
        </w:tc>
      </w:tr>
    </w:tbl>
    <w:p w14:paraId="6D31AD1F" w14:textId="77777777" w:rsidR="00777D4F" w:rsidRPr="00312485" w:rsidRDefault="00777D4F" w:rsidP="00777D4F">
      <w:pPr>
        <w:spacing w:after="160"/>
        <w:ind w:firstLine="567"/>
        <w:rPr>
          <w:rFonts w:eastAsia="Calibri"/>
          <w:sz w:val="18"/>
          <w:szCs w:val="18"/>
          <w:highlight w:val="yellow"/>
          <w:lang w:val="ro-MD"/>
        </w:rPr>
      </w:pPr>
      <w:r w:rsidRPr="00312485">
        <w:rPr>
          <w:rFonts w:eastAsia="Calibri"/>
          <w:i/>
          <w:sz w:val="18"/>
          <w:szCs w:val="18"/>
          <w:lang w:val="ro-MD"/>
        </w:rPr>
        <w:t>Sursa:  Ministerul Finanțelor</w:t>
      </w:r>
    </w:p>
    <w:p w14:paraId="25CB7A1F" w14:textId="22C24B76" w:rsidR="00777D4F" w:rsidRPr="00312485" w:rsidRDefault="00777D4F" w:rsidP="00777D4F">
      <w:pPr>
        <w:ind w:firstLine="567"/>
        <w:rPr>
          <w:sz w:val="24"/>
          <w:szCs w:val="28"/>
          <w:lang w:val="ro-MD"/>
        </w:rPr>
      </w:pPr>
      <w:r w:rsidRPr="00312485">
        <w:rPr>
          <w:sz w:val="24"/>
          <w:szCs w:val="28"/>
          <w:lang w:val="ro-MD"/>
        </w:rPr>
        <w:t>Deși pentru anii 2025-2027 regula bugetar-fiscală stabilită la art.15 alin. (1) al legii menționate, care limitează deficitul BPN (fără granturi) la 2,5% din PIB nu este respectată, depășirea este determinată de includerea măsurilor definite în Agenda de reforme aferent</w:t>
      </w:r>
      <w:r w:rsidR="00497CA7">
        <w:rPr>
          <w:sz w:val="24"/>
          <w:szCs w:val="28"/>
          <w:lang w:val="ro-MD"/>
        </w:rPr>
        <w:t>e</w:t>
      </w:r>
      <w:r w:rsidRPr="00312485">
        <w:rPr>
          <w:sz w:val="24"/>
          <w:szCs w:val="28"/>
          <w:lang w:val="ro-MD"/>
        </w:rPr>
        <w:t xml:space="preserve"> Planului de creștere economică a Republicii Moldova pentru anii 2025-2027. Astfel, din împrumutul destinat facilitații de creștere economică pentru investiții se propun a fi direcționate cheltuieli în volum echivalent 0,6% în PIB în anul 2026, 1,3% în 2027 și 1,6% în 2028. </w:t>
      </w:r>
    </w:p>
    <w:p w14:paraId="3EF2A4BC" w14:textId="77777777" w:rsidR="00777D4F" w:rsidRPr="00312485" w:rsidRDefault="00777D4F" w:rsidP="00506C2C">
      <w:pPr>
        <w:pStyle w:val="bodytext10"/>
        <w:shd w:val="clear" w:color="auto" w:fill="FFFFFF"/>
        <w:spacing w:before="0" w:beforeAutospacing="0" w:after="0" w:afterAutospacing="0"/>
        <w:ind w:firstLine="567"/>
        <w:jc w:val="both"/>
        <w:rPr>
          <w:color w:val="000000"/>
          <w:lang w:val="ro-MD"/>
        </w:rPr>
      </w:pPr>
    </w:p>
    <w:p w14:paraId="753CAE96" w14:textId="3DB6EE71" w:rsidR="00C2708E" w:rsidRPr="00312485" w:rsidRDefault="00C2708E" w:rsidP="00CD6779">
      <w:pPr>
        <w:pStyle w:val="Listparagraf"/>
        <w:keepNext/>
        <w:keepLines/>
        <w:widowControl w:val="0"/>
        <w:numPr>
          <w:ilvl w:val="0"/>
          <w:numId w:val="31"/>
        </w:numPr>
        <w:spacing w:before="40"/>
        <w:ind w:left="851" w:hanging="284"/>
        <w:jc w:val="left"/>
        <w:outlineLvl w:val="1"/>
        <w:rPr>
          <w:rFonts w:eastAsiaTheme="majorEastAsia"/>
          <w:b/>
          <w:sz w:val="24"/>
          <w:szCs w:val="24"/>
          <w:lang w:val="ro-MD"/>
        </w:rPr>
      </w:pPr>
      <w:r w:rsidRPr="00312485">
        <w:rPr>
          <w:rFonts w:eastAsiaTheme="majorEastAsia"/>
          <w:b/>
          <w:sz w:val="24"/>
          <w:szCs w:val="24"/>
          <w:lang w:val="ro-MD"/>
        </w:rPr>
        <w:t>Sold structural (componenta ciclică a deficitului, măsuri de o singură dată)</w:t>
      </w:r>
      <w:bookmarkEnd w:id="4"/>
    </w:p>
    <w:p w14:paraId="34029E0A" w14:textId="77777777" w:rsidR="00C2708E" w:rsidRPr="00312485" w:rsidRDefault="00C2708E" w:rsidP="00C2708E">
      <w:pPr>
        <w:widowControl w:val="0"/>
        <w:ind w:left="720"/>
        <w:contextualSpacing/>
        <w:rPr>
          <w:color w:val="000000"/>
          <w:sz w:val="24"/>
          <w:lang w:val="ro-MD"/>
        </w:rPr>
      </w:pPr>
    </w:p>
    <w:p w14:paraId="2672B28C" w14:textId="77777777" w:rsidR="00C452D5" w:rsidRPr="00C452D5" w:rsidRDefault="00C452D5" w:rsidP="00C452D5">
      <w:pPr>
        <w:shd w:val="clear" w:color="auto" w:fill="FFFFFF"/>
        <w:ind w:firstLine="567"/>
        <w:rPr>
          <w:color w:val="000000"/>
          <w:sz w:val="24"/>
          <w:szCs w:val="24"/>
          <w:lang w:val="ro-RO" w:eastAsia="ro-RO"/>
        </w:rPr>
      </w:pPr>
      <w:r w:rsidRPr="00C452D5">
        <w:rPr>
          <w:color w:val="000000"/>
          <w:sz w:val="24"/>
          <w:szCs w:val="24"/>
          <w:lang w:val="ro-MD" w:eastAsia="ro-RO"/>
        </w:rPr>
        <w:t>Soldul bugetar ajustat ciclic sau echilibrul bugetar structural este unul dintre principalii indicatori fiscali din Uniunea Europeană și este definit ca echilibrul fiscal care ar prevala dacă economia s-ar afla la nivelul potențial al producției. Acesta reprezintă un indicator esențial pentru evaluarea poziției fiscale reale a unui stat și reflectă diferența dintre veniturile și cheltuielile publice, ajustată pentru influențele temporare ale ciclului economic (recesiuni sau suprasolicitări economice) și măsurile excepționale sau de o singură dată. De asemenea, deficitul structural oferă o imagine mult mai exactă asupra stării reale a finanțelor publice decât deficitul bugetar.</w:t>
      </w:r>
    </w:p>
    <w:p w14:paraId="193859B0" w14:textId="77777777" w:rsidR="00C452D5" w:rsidRPr="00C452D5" w:rsidRDefault="00C452D5" w:rsidP="00C452D5">
      <w:pPr>
        <w:shd w:val="clear" w:color="auto" w:fill="FFFFFF"/>
        <w:ind w:firstLine="567"/>
        <w:rPr>
          <w:color w:val="000000"/>
          <w:sz w:val="24"/>
          <w:szCs w:val="24"/>
          <w:lang w:val="ro-RO" w:eastAsia="ro-RO"/>
        </w:rPr>
      </w:pPr>
      <w:r w:rsidRPr="00C452D5">
        <w:rPr>
          <w:color w:val="000000"/>
          <w:sz w:val="24"/>
          <w:szCs w:val="24"/>
          <w:lang w:val="ro-MD" w:eastAsia="ro-RO"/>
        </w:rPr>
        <w:t>Estimarea deficitului bugetar structural a fost realizată în baza metodologiei aplicate de către Uniunea Europeană.</w:t>
      </w:r>
    </w:p>
    <w:p w14:paraId="21D56A97" w14:textId="01462613" w:rsidR="00C452D5" w:rsidRPr="00C452D5" w:rsidRDefault="00C452D5" w:rsidP="00015B15">
      <w:pPr>
        <w:shd w:val="clear" w:color="auto" w:fill="FFFFFF"/>
        <w:spacing w:before="120"/>
        <w:ind w:firstLine="567"/>
        <w:rPr>
          <w:color w:val="000000"/>
          <w:sz w:val="24"/>
          <w:szCs w:val="24"/>
          <w:lang w:val="ro-RO" w:eastAsia="ro-RO"/>
        </w:rPr>
      </w:pPr>
      <w:r w:rsidRPr="00C452D5">
        <w:rPr>
          <w:color w:val="000000"/>
          <w:sz w:val="24"/>
          <w:szCs w:val="24"/>
          <w:lang w:val="ro-MD" w:eastAsia="ro-RO"/>
        </w:rPr>
        <w:t xml:space="preserve">Conform </w:t>
      </w:r>
      <w:r w:rsidR="00D036E1">
        <w:rPr>
          <w:color w:val="000000"/>
          <w:sz w:val="24"/>
          <w:szCs w:val="24"/>
          <w:lang w:val="ro-MD" w:eastAsia="ro-RO"/>
        </w:rPr>
        <w:t>estimărilor</w:t>
      </w:r>
      <w:r w:rsidRPr="00C452D5">
        <w:rPr>
          <w:color w:val="000000"/>
          <w:sz w:val="24"/>
          <w:szCs w:val="24"/>
          <w:lang w:val="ro-MD" w:eastAsia="ro-RO"/>
        </w:rPr>
        <w:t xml:space="preserve">, </w:t>
      </w:r>
      <w:r w:rsidRPr="00C452D5">
        <w:rPr>
          <w:i/>
          <w:color w:val="000000"/>
          <w:sz w:val="24"/>
          <w:szCs w:val="24"/>
          <w:lang w:val="ro-MD" w:eastAsia="ro-RO"/>
        </w:rPr>
        <w:t>deficitul structural</w:t>
      </w:r>
      <w:r w:rsidRPr="00C452D5">
        <w:rPr>
          <w:color w:val="000000"/>
          <w:sz w:val="24"/>
          <w:szCs w:val="24"/>
          <w:lang w:val="ro-MD" w:eastAsia="ro-RO"/>
        </w:rPr>
        <w:t xml:space="preserve"> este prognozat la nivel de 3,63% din PIB în anul 2025, iar pe termen mediu – 4,99%, 5,41% și 4,84% în PIB pentru anii 2026-2028</w:t>
      </w:r>
      <w:r w:rsidR="002060E7">
        <w:rPr>
          <w:color w:val="000000"/>
          <w:sz w:val="24"/>
          <w:szCs w:val="24"/>
          <w:lang w:val="ro-MD" w:eastAsia="ro-RO"/>
        </w:rPr>
        <w:t>,</w:t>
      </w:r>
      <w:r w:rsidRPr="00C452D5">
        <w:rPr>
          <w:color w:val="000000"/>
          <w:sz w:val="24"/>
          <w:szCs w:val="24"/>
          <w:lang w:val="ro-MD" w:eastAsia="ro-RO"/>
        </w:rPr>
        <w:t xml:space="preserve"> respectiv (</w:t>
      </w:r>
      <w:r w:rsidR="00F03658">
        <w:rPr>
          <w:color w:val="000000"/>
          <w:sz w:val="24"/>
          <w:szCs w:val="24"/>
          <w:lang w:val="ro-MD" w:eastAsia="ro-RO"/>
        </w:rPr>
        <w:t>t</w:t>
      </w:r>
      <w:r w:rsidRPr="00C452D5">
        <w:rPr>
          <w:color w:val="000000"/>
          <w:sz w:val="24"/>
          <w:szCs w:val="24"/>
          <w:lang w:val="ro-MD" w:eastAsia="ro-RO"/>
        </w:rPr>
        <w:t>abelul 5.</w:t>
      </w:r>
      <w:r w:rsidR="00F03658">
        <w:rPr>
          <w:color w:val="000000"/>
          <w:sz w:val="24"/>
          <w:szCs w:val="24"/>
          <w:lang w:val="ro-MD" w:eastAsia="ro-RO"/>
        </w:rPr>
        <w:t>5</w:t>
      </w:r>
      <w:r w:rsidRPr="00C452D5">
        <w:rPr>
          <w:color w:val="000000"/>
          <w:sz w:val="24"/>
          <w:szCs w:val="24"/>
          <w:lang w:val="ro-MD" w:eastAsia="ro-RO"/>
        </w:rPr>
        <w:t>).</w:t>
      </w:r>
    </w:p>
    <w:p w14:paraId="25548487" w14:textId="03E8CF30" w:rsidR="007B5F5B" w:rsidRPr="00312485" w:rsidRDefault="007B5F5B" w:rsidP="00C040FF">
      <w:pPr>
        <w:widowControl w:val="0"/>
        <w:spacing w:after="120"/>
        <w:ind w:firstLine="0"/>
        <w:jc w:val="right"/>
        <w:rPr>
          <w:b/>
          <w:color w:val="000000"/>
          <w:sz w:val="22"/>
          <w:lang w:val="ro-MD"/>
        </w:rPr>
      </w:pPr>
      <w:r w:rsidRPr="00312485">
        <w:rPr>
          <w:b/>
          <w:color w:val="000000"/>
          <w:sz w:val="22"/>
          <w:lang w:val="ro-MD"/>
        </w:rPr>
        <w:t>Tabelul 5</w:t>
      </w:r>
      <w:r w:rsidR="00F03658">
        <w:rPr>
          <w:b/>
          <w:color w:val="000000"/>
          <w:sz w:val="22"/>
          <w:lang w:val="ro-MD"/>
        </w:rPr>
        <w:t>.5</w:t>
      </w:r>
    </w:p>
    <w:p w14:paraId="4EB75C14" w14:textId="77777777" w:rsidR="00A60DAA" w:rsidRPr="00015B15" w:rsidRDefault="00281A45" w:rsidP="00A60DAA">
      <w:pPr>
        <w:widowControl w:val="0"/>
        <w:ind w:firstLine="0"/>
        <w:jc w:val="center"/>
        <w:rPr>
          <w:b/>
          <w:color w:val="000000"/>
          <w:sz w:val="22"/>
          <w:lang w:val="ro-MD"/>
        </w:rPr>
      </w:pPr>
      <w:r w:rsidRPr="00015B15">
        <w:rPr>
          <w:b/>
          <w:color w:val="000000"/>
          <w:sz w:val="22"/>
          <w:lang w:val="ro-MD"/>
        </w:rPr>
        <w:t xml:space="preserve">Soldul bugetar și componentele pentru estimarea soldului structural </w:t>
      </w:r>
    </w:p>
    <w:p w14:paraId="034CCAE3" w14:textId="57ED8941" w:rsidR="007B5F5B" w:rsidRPr="00015B15" w:rsidRDefault="00281A45" w:rsidP="00A60DAA">
      <w:pPr>
        <w:widowControl w:val="0"/>
        <w:ind w:firstLine="0"/>
        <w:jc w:val="center"/>
        <w:rPr>
          <w:b/>
          <w:color w:val="000000"/>
          <w:sz w:val="22"/>
          <w:lang w:val="ro-MD"/>
        </w:rPr>
      </w:pPr>
      <w:r w:rsidRPr="00015B15">
        <w:rPr>
          <w:b/>
          <w:color w:val="000000"/>
          <w:sz w:val="22"/>
          <w:lang w:val="ro-MD"/>
        </w:rPr>
        <w:t>în perioada 2020-2028</w:t>
      </w:r>
    </w:p>
    <w:p w14:paraId="2FD8D28F" w14:textId="40B033E7" w:rsidR="00281A45" w:rsidRPr="00312485" w:rsidRDefault="00281A45" w:rsidP="007B5F5B">
      <w:pPr>
        <w:widowControl w:val="0"/>
        <w:spacing w:after="120"/>
        <w:ind w:firstLine="0"/>
        <w:jc w:val="right"/>
        <w:rPr>
          <w:b/>
          <w:color w:val="000000"/>
          <w:sz w:val="24"/>
          <w:lang w:val="ro-MD"/>
        </w:rPr>
      </w:pPr>
      <w:r w:rsidRPr="00312485">
        <w:rPr>
          <w:b/>
          <w:color w:val="000000"/>
          <w:sz w:val="24"/>
          <w:lang w:val="ro-MD"/>
        </w:rPr>
        <w:t xml:space="preserve"> </w:t>
      </w:r>
      <w:r w:rsidRPr="00312485">
        <w:rPr>
          <w:b/>
          <w:i/>
          <w:color w:val="000000"/>
          <w:lang w:val="ro-MD"/>
        </w:rPr>
        <w:t>% în PIB</w:t>
      </w:r>
      <w:r w:rsidRPr="00312485">
        <w:rPr>
          <w:b/>
          <w:color w:val="000000"/>
          <w:sz w:val="24"/>
          <w:lang w:val="ro-MD"/>
        </w:rPr>
        <w:t>*</w:t>
      </w:r>
    </w:p>
    <w:tbl>
      <w:tblPr>
        <w:tblW w:w="9356" w:type="dxa"/>
        <w:tblInd w:w="-284" w:type="dxa"/>
        <w:tblLook w:val="04A0" w:firstRow="1" w:lastRow="0" w:firstColumn="1" w:lastColumn="0" w:noHBand="0" w:noVBand="1"/>
      </w:tblPr>
      <w:tblGrid>
        <w:gridCol w:w="992"/>
        <w:gridCol w:w="1134"/>
        <w:gridCol w:w="1214"/>
        <w:gridCol w:w="1369"/>
        <w:gridCol w:w="1213"/>
        <w:gridCol w:w="1214"/>
        <w:gridCol w:w="1215"/>
        <w:gridCol w:w="1005"/>
      </w:tblGrid>
      <w:tr w:rsidR="002D6623" w:rsidRPr="00312485" w14:paraId="5D348379" w14:textId="77777777" w:rsidTr="002105D7">
        <w:trPr>
          <w:trHeight w:val="454"/>
          <w:tblHeader/>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88CAC" w14:textId="79D46515" w:rsidR="002D6623" w:rsidRPr="00312485" w:rsidRDefault="002D6623" w:rsidP="002D6623">
            <w:pPr>
              <w:jc w:val="center"/>
              <w:rPr>
                <w:b/>
                <w:color w:val="000000"/>
                <w:sz w:val="18"/>
                <w:szCs w:val="18"/>
                <w:lang w:val="ro-MD"/>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04CD8" w14:textId="08B32291" w:rsidR="002D6623" w:rsidRPr="00312485" w:rsidRDefault="002D6623" w:rsidP="00234011">
            <w:pPr>
              <w:ind w:firstLine="0"/>
              <w:jc w:val="center"/>
              <w:rPr>
                <w:b/>
                <w:color w:val="000000"/>
                <w:sz w:val="18"/>
                <w:szCs w:val="18"/>
                <w:lang w:val="ro-MD"/>
              </w:rPr>
            </w:pPr>
            <w:r w:rsidRPr="00312485">
              <w:rPr>
                <w:b/>
                <w:color w:val="000000"/>
                <w:sz w:val="18"/>
                <w:szCs w:val="18"/>
                <w:lang w:val="ro-MD"/>
              </w:rPr>
              <w:t>Decalaj de rezultat</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0EB29"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Deficitul BPN</w:t>
            </w:r>
          </w:p>
        </w:tc>
        <w:tc>
          <w:tcPr>
            <w:tcW w:w="1369" w:type="dxa"/>
            <w:tcBorders>
              <w:top w:val="single" w:sz="4" w:space="0" w:color="auto"/>
              <w:left w:val="single" w:sz="4" w:space="0" w:color="auto"/>
              <w:bottom w:val="single" w:sz="4" w:space="0" w:color="auto"/>
              <w:right w:val="single" w:sz="4" w:space="0" w:color="auto"/>
            </w:tcBorders>
            <w:vAlign w:val="center"/>
          </w:tcPr>
          <w:p w14:paraId="7F7A64EC"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Componenta ciclică</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EBA8E"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Deficit ajustat ciclic</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7A723"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Măsuri de o singură dată</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3C37B"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Deficitul structural</w:t>
            </w:r>
          </w:p>
        </w:tc>
        <w:tc>
          <w:tcPr>
            <w:tcW w:w="1005" w:type="dxa"/>
            <w:tcBorders>
              <w:top w:val="single" w:sz="4" w:space="0" w:color="auto"/>
              <w:left w:val="single" w:sz="4" w:space="0" w:color="auto"/>
              <w:bottom w:val="single" w:sz="4" w:space="0" w:color="auto"/>
              <w:right w:val="single" w:sz="4" w:space="0" w:color="auto"/>
            </w:tcBorders>
            <w:vAlign w:val="center"/>
          </w:tcPr>
          <w:p w14:paraId="7D4F1062" w14:textId="77777777" w:rsidR="002D6623" w:rsidRPr="00312485" w:rsidRDefault="002D6623" w:rsidP="008574DE">
            <w:pPr>
              <w:ind w:firstLine="0"/>
              <w:jc w:val="center"/>
              <w:rPr>
                <w:b/>
                <w:color w:val="000000"/>
                <w:sz w:val="18"/>
                <w:szCs w:val="18"/>
                <w:lang w:val="ro-MD"/>
              </w:rPr>
            </w:pPr>
            <w:r w:rsidRPr="00312485">
              <w:rPr>
                <w:b/>
                <w:color w:val="000000"/>
                <w:sz w:val="18"/>
                <w:szCs w:val="18"/>
                <w:lang w:val="ro-MD"/>
              </w:rPr>
              <w:t>Impulsul fiscal</w:t>
            </w:r>
          </w:p>
        </w:tc>
      </w:tr>
      <w:tr w:rsidR="002D6623" w:rsidRPr="00312485" w14:paraId="700F2F8E"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4AD2C"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4404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-5,98</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2048F"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-5,32</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4D25C0F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-2,12</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85D2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-3,19</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9AAEF"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-2,5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F5489"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-0,69</w:t>
            </w:r>
          </w:p>
        </w:tc>
        <w:tc>
          <w:tcPr>
            <w:tcW w:w="1005" w:type="dxa"/>
            <w:tcBorders>
              <w:top w:val="single" w:sz="4" w:space="0" w:color="auto"/>
              <w:left w:val="single" w:sz="4" w:space="0" w:color="auto"/>
              <w:bottom w:val="single" w:sz="4" w:space="0" w:color="auto"/>
              <w:right w:val="single" w:sz="4" w:space="0" w:color="auto"/>
            </w:tcBorders>
            <w:vAlign w:val="center"/>
          </w:tcPr>
          <w:p w14:paraId="624AF11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-2,51</w:t>
            </w:r>
          </w:p>
        </w:tc>
      </w:tr>
      <w:tr w:rsidR="002D6623" w:rsidRPr="00312485" w14:paraId="21BE179C"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049A2"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586D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4,93</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1FE4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-2,62</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2B03E6E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1,75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DAC84"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-4,37</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02F2D"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-0,8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EA86A"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-3,57</w:t>
            </w:r>
          </w:p>
        </w:tc>
        <w:tc>
          <w:tcPr>
            <w:tcW w:w="1005" w:type="dxa"/>
            <w:tcBorders>
              <w:top w:val="single" w:sz="4" w:space="0" w:color="auto"/>
              <w:left w:val="single" w:sz="4" w:space="0" w:color="auto"/>
              <w:bottom w:val="single" w:sz="4" w:space="0" w:color="auto"/>
              <w:right w:val="single" w:sz="4" w:space="0" w:color="auto"/>
            </w:tcBorders>
            <w:vAlign w:val="center"/>
          </w:tcPr>
          <w:p w14:paraId="583FC6E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2,87</w:t>
            </w:r>
          </w:p>
        </w:tc>
      </w:tr>
      <w:tr w:rsidR="002D6623" w:rsidRPr="00312485" w14:paraId="7ED5208C"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C7C0A"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F403B"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-1,37</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6004E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-3,24</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0FA8FA39"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-0,49</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40A30"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-2,75</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7B718"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-3,3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7DD8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0,55</w:t>
            </w:r>
          </w:p>
        </w:tc>
        <w:tc>
          <w:tcPr>
            <w:tcW w:w="1005" w:type="dxa"/>
            <w:tcBorders>
              <w:top w:val="single" w:sz="4" w:space="0" w:color="auto"/>
              <w:left w:val="single" w:sz="4" w:space="0" w:color="auto"/>
              <w:bottom w:val="single" w:sz="4" w:space="0" w:color="auto"/>
              <w:right w:val="single" w:sz="4" w:space="0" w:color="auto"/>
            </w:tcBorders>
            <w:vAlign w:val="center"/>
          </w:tcPr>
          <w:p w14:paraId="689A344B"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-4,11</w:t>
            </w:r>
          </w:p>
        </w:tc>
      </w:tr>
      <w:tr w:rsidR="002D6623" w:rsidRPr="00312485" w14:paraId="1D669CFB"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EA301"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038DA"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-1,45</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1D4B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-5,13</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2FEA624C"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-0,52</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9D413"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-4,61</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9CE45"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-1,3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001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-3,31</w:t>
            </w:r>
          </w:p>
        </w:tc>
        <w:tc>
          <w:tcPr>
            <w:tcW w:w="1005" w:type="dxa"/>
            <w:tcBorders>
              <w:top w:val="single" w:sz="4" w:space="0" w:color="auto"/>
              <w:left w:val="single" w:sz="4" w:space="0" w:color="auto"/>
              <w:bottom w:val="single" w:sz="4" w:space="0" w:color="auto"/>
              <w:right w:val="single" w:sz="4" w:space="0" w:color="auto"/>
            </w:tcBorders>
            <w:vAlign w:val="center"/>
          </w:tcPr>
          <w:p w14:paraId="6ECF2FB8"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3,86</w:t>
            </w:r>
          </w:p>
        </w:tc>
      </w:tr>
      <w:tr w:rsidR="002D6623" w:rsidRPr="00312485" w14:paraId="112EAE9C"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11BD5"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57B4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-2,71</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6C51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-3,89</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3A038741"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-0,96</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88D2C"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-2,93</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CB28B"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-0,8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A4501"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-2,13</w:t>
            </w:r>
          </w:p>
        </w:tc>
        <w:tc>
          <w:tcPr>
            <w:tcW w:w="1005" w:type="dxa"/>
            <w:tcBorders>
              <w:top w:val="single" w:sz="4" w:space="0" w:color="auto"/>
              <w:left w:val="single" w:sz="4" w:space="0" w:color="auto"/>
              <w:bottom w:val="single" w:sz="4" w:space="0" w:color="auto"/>
              <w:right w:val="single" w:sz="4" w:space="0" w:color="auto"/>
            </w:tcBorders>
            <w:vAlign w:val="center"/>
          </w:tcPr>
          <w:p w14:paraId="48160E48"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-1,18</w:t>
            </w:r>
          </w:p>
        </w:tc>
      </w:tr>
      <w:tr w:rsidR="002D6623" w:rsidRPr="00312485" w14:paraId="50B2FD4B"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D50F7"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7F9B6"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-2,06</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376C2"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-5,16</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2C2FE0CC"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-0,73</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FB060"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-4,43</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E2A8B"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-0,8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DDE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-3,63</w:t>
            </w:r>
          </w:p>
        </w:tc>
        <w:tc>
          <w:tcPr>
            <w:tcW w:w="1005" w:type="dxa"/>
            <w:tcBorders>
              <w:top w:val="single" w:sz="4" w:space="0" w:color="auto"/>
              <w:left w:val="single" w:sz="4" w:space="0" w:color="auto"/>
              <w:bottom w:val="single" w:sz="4" w:space="0" w:color="auto"/>
              <w:right w:val="single" w:sz="4" w:space="0" w:color="auto"/>
            </w:tcBorders>
            <w:vAlign w:val="center"/>
          </w:tcPr>
          <w:p w14:paraId="4027C4BA"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1,50</w:t>
            </w:r>
          </w:p>
        </w:tc>
      </w:tr>
      <w:tr w:rsidR="002D6623" w:rsidRPr="00312485" w14:paraId="22CFADE4"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C0B65"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E2A23"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-1,13</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351B7"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-5,39</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36C29A8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-0,40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EAD44"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-4,99</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9F872"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D1916"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-4,99</w:t>
            </w:r>
          </w:p>
        </w:tc>
        <w:tc>
          <w:tcPr>
            <w:tcW w:w="1005" w:type="dxa"/>
            <w:tcBorders>
              <w:top w:val="single" w:sz="4" w:space="0" w:color="auto"/>
              <w:left w:val="single" w:sz="4" w:space="0" w:color="auto"/>
              <w:bottom w:val="single" w:sz="4" w:space="0" w:color="auto"/>
              <w:right w:val="single" w:sz="4" w:space="0" w:color="auto"/>
            </w:tcBorders>
            <w:vAlign w:val="center"/>
          </w:tcPr>
          <w:p w14:paraId="5CB83B81"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1,36</w:t>
            </w:r>
          </w:p>
        </w:tc>
      </w:tr>
      <w:tr w:rsidR="002D6623" w:rsidRPr="00312485" w14:paraId="5CF5737E"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EB822"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9B96"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0,22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F9BE9"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-5,33</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1C7D325B"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0,08</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19884"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-5,41</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4B00E"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2FA74"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-5,41</w:t>
            </w:r>
          </w:p>
        </w:tc>
        <w:tc>
          <w:tcPr>
            <w:tcW w:w="1005" w:type="dxa"/>
            <w:tcBorders>
              <w:top w:val="single" w:sz="4" w:space="0" w:color="auto"/>
              <w:left w:val="single" w:sz="4" w:space="0" w:color="auto"/>
              <w:bottom w:val="single" w:sz="4" w:space="0" w:color="auto"/>
              <w:right w:val="single" w:sz="4" w:space="0" w:color="auto"/>
            </w:tcBorders>
            <w:vAlign w:val="center"/>
          </w:tcPr>
          <w:p w14:paraId="30EF073D"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0,42</w:t>
            </w:r>
          </w:p>
        </w:tc>
      </w:tr>
      <w:tr w:rsidR="002D6623" w:rsidRPr="00312485" w14:paraId="6A2CCB41" w14:textId="77777777" w:rsidTr="002105D7">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C9BCA" w14:textId="77777777" w:rsidR="002D6623" w:rsidRPr="00312485" w:rsidRDefault="002D6623" w:rsidP="00D77E50">
            <w:pPr>
              <w:spacing w:line="276" w:lineRule="auto"/>
              <w:ind w:firstLine="29"/>
              <w:jc w:val="center"/>
              <w:rPr>
                <w:b/>
                <w:color w:val="000000"/>
                <w:sz w:val="18"/>
                <w:szCs w:val="18"/>
                <w:lang w:val="ro-MD"/>
              </w:rPr>
            </w:pPr>
            <w:r w:rsidRPr="00312485">
              <w:rPr>
                <w:b/>
                <w:color w:val="000000"/>
                <w:sz w:val="18"/>
                <w:szCs w:val="18"/>
                <w:lang w:val="ro-MD"/>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16741"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1,74</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2FE68"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-4,22</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14:paraId="0096B4CD"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0,62</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2C7DB"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-4,84</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9FCEA" w14:textId="77777777" w:rsidR="002D6623" w:rsidRPr="00312485" w:rsidRDefault="002D6623" w:rsidP="00D77E50">
            <w:pPr>
              <w:spacing w:line="276" w:lineRule="auto"/>
              <w:ind w:firstLine="63"/>
              <w:jc w:val="center"/>
              <w:rPr>
                <w:color w:val="000000"/>
                <w:sz w:val="18"/>
                <w:szCs w:val="18"/>
                <w:lang w:val="ro-MD"/>
              </w:rPr>
            </w:pPr>
            <w:r w:rsidRPr="00312485">
              <w:rPr>
                <w:color w:val="000000"/>
                <w:sz w:val="18"/>
                <w:szCs w:val="18"/>
                <w:lang w:val="ro-MD"/>
              </w:rPr>
              <w:t>-</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898FB"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-4,84</w:t>
            </w:r>
          </w:p>
        </w:tc>
        <w:tc>
          <w:tcPr>
            <w:tcW w:w="1005" w:type="dxa"/>
            <w:tcBorders>
              <w:top w:val="single" w:sz="4" w:space="0" w:color="auto"/>
              <w:left w:val="single" w:sz="4" w:space="0" w:color="auto"/>
              <w:bottom w:val="single" w:sz="4" w:space="0" w:color="auto"/>
              <w:right w:val="single" w:sz="4" w:space="0" w:color="auto"/>
            </w:tcBorders>
            <w:vAlign w:val="center"/>
          </w:tcPr>
          <w:p w14:paraId="62A189B5" w14:textId="77777777" w:rsidR="002D6623" w:rsidRPr="00312485" w:rsidRDefault="002D6623" w:rsidP="00D77E50">
            <w:pPr>
              <w:spacing w:line="276" w:lineRule="auto"/>
              <w:ind w:firstLine="0"/>
              <w:jc w:val="center"/>
              <w:rPr>
                <w:color w:val="000000"/>
                <w:sz w:val="18"/>
                <w:szCs w:val="18"/>
                <w:lang w:val="ro-MD"/>
              </w:rPr>
            </w:pPr>
            <w:r w:rsidRPr="00312485">
              <w:rPr>
                <w:color w:val="000000"/>
                <w:sz w:val="18"/>
                <w:szCs w:val="18"/>
                <w:lang w:val="ro-MD"/>
              </w:rPr>
              <w:t>-0,57</w:t>
            </w:r>
          </w:p>
        </w:tc>
      </w:tr>
    </w:tbl>
    <w:p w14:paraId="6464FAEC" w14:textId="77777777" w:rsidR="00FB2F22" w:rsidRPr="00CD6779" w:rsidRDefault="00FB2F22" w:rsidP="00CD6779">
      <w:pPr>
        <w:widowControl w:val="0"/>
        <w:ind w:firstLine="284"/>
        <w:rPr>
          <w:color w:val="000000"/>
          <w:sz w:val="16"/>
          <w:szCs w:val="18"/>
          <w:lang w:val="ro-MD"/>
        </w:rPr>
      </w:pPr>
      <w:r w:rsidRPr="00CD6779">
        <w:rPr>
          <w:color w:val="000000"/>
          <w:sz w:val="16"/>
          <w:szCs w:val="18"/>
          <w:lang w:val="ro-MD"/>
        </w:rPr>
        <w:t>*) Pentru perioada 2025-2028 sunt indicate valori estimative</w:t>
      </w:r>
    </w:p>
    <w:p w14:paraId="03571B1F" w14:textId="3C3A2B75" w:rsidR="00CF5F04" w:rsidRPr="00312485" w:rsidRDefault="00CF5F04" w:rsidP="00CD6779">
      <w:pPr>
        <w:widowControl w:val="0"/>
        <w:spacing w:before="120"/>
        <w:ind w:firstLine="425"/>
        <w:rPr>
          <w:noProof/>
          <w:color w:val="000000"/>
          <w:sz w:val="24"/>
          <w:lang w:val="ro-MD"/>
        </w:rPr>
      </w:pPr>
      <w:r w:rsidRPr="00312485">
        <w:rPr>
          <w:color w:val="000000"/>
          <w:sz w:val="24"/>
          <w:lang w:val="ro-MD"/>
        </w:rPr>
        <w:t>Evoluția deficitului bugetar și structural în anii 2020-2028 este prezentată în grafic</w:t>
      </w:r>
      <w:r w:rsidR="00967207" w:rsidRPr="00312485">
        <w:rPr>
          <w:color w:val="000000"/>
          <w:sz w:val="24"/>
          <w:lang w:val="ro-MD"/>
        </w:rPr>
        <w:t xml:space="preserve">ele </w:t>
      </w:r>
      <w:r w:rsidR="00F5261B" w:rsidRPr="00312485">
        <w:rPr>
          <w:color w:val="000000"/>
          <w:sz w:val="24"/>
          <w:lang w:val="ro-MD"/>
        </w:rPr>
        <w:t>de mai jos</w:t>
      </w:r>
      <w:r w:rsidR="00967207" w:rsidRPr="00312485">
        <w:rPr>
          <w:color w:val="000000"/>
          <w:sz w:val="24"/>
          <w:lang w:val="ro-MD"/>
        </w:rPr>
        <w:t>:</w:t>
      </w:r>
      <w:r w:rsidRPr="00312485">
        <w:rPr>
          <w:noProof/>
          <w:color w:val="000000"/>
          <w:sz w:val="24"/>
          <w:lang w:val="ro-MD"/>
        </w:rPr>
        <w:t xml:space="preserve"> </w:t>
      </w:r>
    </w:p>
    <w:tbl>
      <w:tblPr>
        <w:tblStyle w:val="Tabelgril"/>
        <w:tblW w:w="0" w:type="auto"/>
        <w:tblLook w:val="04A0" w:firstRow="1" w:lastRow="0" w:firstColumn="1" w:lastColumn="0" w:noHBand="0" w:noVBand="1"/>
      </w:tblPr>
      <w:tblGrid>
        <w:gridCol w:w="4559"/>
        <w:gridCol w:w="4560"/>
      </w:tblGrid>
      <w:tr w:rsidR="008448FC" w:rsidRPr="00312485" w14:paraId="613267A2" w14:textId="77777777" w:rsidTr="008448FC">
        <w:tc>
          <w:tcPr>
            <w:tcW w:w="4559" w:type="dxa"/>
          </w:tcPr>
          <w:p w14:paraId="60F33A19" w14:textId="3AE06775" w:rsidR="008448FC" w:rsidRPr="00312485" w:rsidRDefault="00AE17D1" w:rsidP="00CF5F04">
            <w:pPr>
              <w:widowControl w:val="0"/>
              <w:spacing w:after="120"/>
              <w:ind w:firstLine="0"/>
              <w:rPr>
                <w:b/>
                <w:i/>
                <w:noProof/>
                <w:color w:val="000000"/>
                <w:sz w:val="24"/>
                <w:lang w:val="ro-MD"/>
              </w:rPr>
            </w:pPr>
            <w:r w:rsidRPr="00312485">
              <w:rPr>
                <w:noProof/>
                <w:lang w:val="ro-RO" w:eastAsia="ro-RO"/>
              </w:rPr>
              <w:drawing>
                <wp:inline distT="0" distB="0" distL="0" distR="0" wp14:anchorId="4DEDBF55" wp14:editId="00D1D34C">
                  <wp:extent cx="2783840" cy="2395182"/>
                  <wp:effectExtent l="0" t="0" r="16510" b="5715"/>
                  <wp:docPr id="2" name="Chart 4">
                    <a:extLst xmlns:a="http://schemas.openxmlformats.org/drawingml/2006/main">
                      <a:ext uri="{FF2B5EF4-FFF2-40B4-BE49-F238E27FC236}">
                        <a16:creationId xmlns:a16="http://schemas.microsoft.com/office/drawing/2014/main" id="{55D7F7E3-38F9-84C6-BA41-7D86760F9F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560" w:type="dxa"/>
          </w:tcPr>
          <w:p w14:paraId="6E08C31F" w14:textId="0E0E289E" w:rsidR="008448FC" w:rsidRPr="00312485" w:rsidRDefault="00AE17D1" w:rsidP="00CF5F04">
            <w:pPr>
              <w:widowControl w:val="0"/>
              <w:spacing w:after="120"/>
              <w:ind w:firstLine="0"/>
              <w:rPr>
                <w:b/>
                <w:i/>
                <w:noProof/>
                <w:color w:val="000000"/>
                <w:sz w:val="24"/>
                <w:lang w:val="ro-MD"/>
              </w:rPr>
            </w:pPr>
            <w:r w:rsidRPr="00312485">
              <w:rPr>
                <w:noProof/>
                <w:lang w:val="ro-RO" w:eastAsia="ro-RO"/>
              </w:rPr>
              <w:drawing>
                <wp:inline distT="0" distB="0" distL="0" distR="0" wp14:anchorId="5038FA7B" wp14:editId="4A107DA6">
                  <wp:extent cx="2784001" cy="2363650"/>
                  <wp:effectExtent l="0" t="0" r="16510" b="17780"/>
                  <wp:docPr id="1" name="Chart 1">
                    <a:extLst xmlns:a="http://schemas.openxmlformats.org/drawingml/2006/main">
                      <a:ext uri="{FF2B5EF4-FFF2-40B4-BE49-F238E27FC236}">
                        <a16:creationId xmlns:a16="http://schemas.microsoft.com/office/drawing/2014/main" id="{BD0CB12E-9A4E-48D6-1314-0726606B75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14:paraId="7E3C565F" w14:textId="5E36A70C" w:rsidR="00F5261B" w:rsidRPr="00312485" w:rsidRDefault="00190164" w:rsidP="00190164">
      <w:pPr>
        <w:autoSpaceDE w:val="0"/>
        <w:autoSpaceDN w:val="0"/>
        <w:adjustRightInd w:val="0"/>
        <w:ind w:firstLine="284"/>
        <w:rPr>
          <w:i/>
          <w:sz w:val="16"/>
          <w:szCs w:val="24"/>
          <w:lang w:val="ro-MD" w:eastAsia="ru-RU"/>
        </w:rPr>
      </w:pPr>
      <w:r w:rsidRPr="00312485">
        <w:rPr>
          <w:i/>
          <w:sz w:val="16"/>
          <w:szCs w:val="24"/>
          <w:lang w:val="ro-MD" w:eastAsia="ru-RU"/>
        </w:rPr>
        <w:t xml:space="preserve">Sursa: Ministerul </w:t>
      </w:r>
      <w:proofErr w:type="spellStart"/>
      <w:r w:rsidRPr="00312485">
        <w:rPr>
          <w:i/>
          <w:sz w:val="16"/>
          <w:szCs w:val="24"/>
          <w:lang w:val="ro-MD" w:eastAsia="ru-RU"/>
        </w:rPr>
        <w:t>Finantelor</w:t>
      </w:r>
      <w:proofErr w:type="spellEnd"/>
    </w:p>
    <w:p w14:paraId="7903A080" w14:textId="5FD25FBC" w:rsidR="00787016" w:rsidRPr="00312485" w:rsidRDefault="00787016" w:rsidP="00266FF7">
      <w:pPr>
        <w:autoSpaceDE w:val="0"/>
        <w:autoSpaceDN w:val="0"/>
        <w:adjustRightInd w:val="0"/>
        <w:ind w:firstLine="0"/>
        <w:rPr>
          <w:sz w:val="24"/>
          <w:szCs w:val="24"/>
          <w:lang w:val="ro-MD" w:eastAsia="ru-RU"/>
        </w:rPr>
      </w:pPr>
    </w:p>
    <w:p w14:paraId="07AEF3C5" w14:textId="6988D2CD" w:rsidR="003250CA" w:rsidRPr="00312485" w:rsidRDefault="003250CA" w:rsidP="007654A5">
      <w:pPr>
        <w:widowControl w:val="0"/>
        <w:ind w:firstLine="567"/>
        <w:rPr>
          <w:color w:val="000000"/>
          <w:sz w:val="24"/>
          <w:lang w:val="ro-MD"/>
        </w:rPr>
      </w:pPr>
      <w:r w:rsidRPr="00312485">
        <w:rPr>
          <w:color w:val="000000"/>
          <w:sz w:val="24"/>
          <w:lang w:val="ro-MD"/>
        </w:rPr>
        <w:t>Potrivit grafic</w:t>
      </w:r>
      <w:r w:rsidR="00325652" w:rsidRPr="00312485">
        <w:rPr>
          <w:color w:val="000000"/>
          <w:sz w:val="24"/>
          <w:lang w:val="ro-MD"/>
        </w:rPr>
        <w:t>elor</w:t>
      </w:r>
      <w:r w:rsidRPr="00312485">
        <w:rPr>
          <w:color w:val="000000"/>
          <w:sz w:val="24"/>
          <w:lang w:val="ro-MD"/>
        </w:rPr>
        <w:t>, pe parcursul ultimilor ani de execuție</w:t>
      </w:r>
      <w:r w:rsidR="00820ABE" w:rsidRPr="00312485">
        <w:rPr>
          <w:color w:val="000000"/>
          <w:sz w:val="24"/>
          <w:lang w:val="ro-MD"/>
        </w:rPr>
        <w:t>,</w:t>
      </w:r>
      <w:r w:rsidRPr="00312485">
        <w:rPr>
          <w:color w:val="000000"/>
          <w:sz w:val="24"/>
          <w:lang w:val="ro-MD"/>
        </w:rPr>
        <w:t xml:space="preserve"> </w:t>
      </w:r>
      <w:r w:rsidR="00820ABE" w:rsidRPr="00312485">
        <w:rPr>
          <w:color w:val="000000"/>
          <w:sz w:val="24"/>
          <w:lang w:val="ro-MD"/>
        </w:rPr>
        <w:t>la</w:t>
      </w:r>
      <w:r w:rsidRPr="00312485">
        <w:rPr>
          <w:color w:val="000000"/>
          <w:sz w:val="24"/>
          <w:lang w:val="ro-MD"/>
        </w:rPr>
        <w:t xml:space="preserve"> general se constată că deficitul structural este mai mic decât deficitul nominal, din cauza cheltuielilor generate de crizele cu care se confruntă țara noastră în ultima perioadă, ceea ce arată un dezechilibru fiscal de durată.</w:t>
      </w:r>
      <w:r w:rsidR="00AE0C49" w:rsidRPr="00312485">
        <w:rPr>
          <w:color w:val="000000"/>
          <w:sz w:val="24"/>
          <w:lang w:val="ro-MD"/>
        </w:rPr>
        <w:t xml:space="preserve"> </w:t>
      </w:r>
      <w:r w:rsidRPr="00312485">
        <w:rPr>
          <w:color w:val="000000"/>
          <w:sz w:val="24"/>
          <w:lang w:val="ro-MD"/>
        </w:rPr>
        <w:t>Doar în anul 2021</w:t>
      </w:r>
      <w:r w:rsidR="00441EBE" w:rsidRPr="00312485">
        <w:rPr>
          <w:color w:val="000000"/>
          <w:sz w:val="24"/>
          <w:lang w:val="ro-MD"/>
        </w:rPr>
        <w:t>,</w:t>
      </w:r>
      <w:r w:rsidRPr="00312485">
        <w:rPr>
          <w:color w:val="000000"/>
          <w:sz w:val="24"/>
          <w:lang w:val="ro-MD"/>
        </w:rPr>
        <w:t xml:space="preserve"> deficitul structural a înregistrat o valoare mai mare față de deficitul bugetar cauza fiind creșterea economică peste potențial (PIB-ul efectiv a fost mai</w:t>
      </w:r>
      <w:r w:rsidR="00A755B5" w:rsidRPr="00312485">
        <w:rPr>
          <w:color w:val="000000"/>
          <w:sz w:val="24"/>
          <w:lang w:val="ro-MD"/>
        </w:rPr>
        <w:t xml:space="preserve"> mare</w:t>
      </w:r>
      <w:r w:rsidRPr="00312485">
        <w:rPr>
          <w:color w:val="000000"/>
          <w:sz w:val="24"/>
          <w:lang w:val="ro-MD"/>
        </w:rPr>
        <w:t xml:space="preserve"> decât PIB-ul potențial), ca urmare a restabilirii activității economice după pandemia din anul 2020.</w:t>
      </w:r>
      <w:r w:rsidR="00383474" w:rsidRPr="00312485">
        <w:rPr>
          <w:color w:val="000000"/>
          <w:sz w:val="24"/>
          <w:lang w:val="ro-MD"/>
        </w:rPr>
        <w:t xml:space="preserve"> </w:t>
      </w:r>
      <w:r w:rsidRPr="00312485">
        <w:rPr>
          <w:color w:val="000000"/>
          <w:sz w:val="24"/>
          <w:lang w:val="ro-MD"/>
        </w:rPr>
        <w:t>Totodată</w:t>
      </w:r>
      <w:r w:rsidR="00383474" w:rsidRPr="00312485">
        <w:rPr>
          <w:color w:val="000000"/>
          <w:sz w:val="24"/>
          <w:lang w:val="ro-MD"/>
        </w:rPr>
        <w:t>,</w:t>
      </w:r>
      <w:r w:rsidRPr="00312485">
        <w:rPr>
          <w:color w:val="000000"/>
          <w:sz w:val="24"/>
          <w:lang w:val="ro-MD"/>
        </w:rPr>
        <w:t xml:space="preserve"> se constată că doar în anul 2022 deficitul structural a avut valoare pozitivă de 0,</w:t>
      </w:r>
      <w:r w:rsidR="007905E6" w:rsidRPr="00312485">
        <w:rPr>
          <w:color w:val="000000"/>
          <w:sz w:val="24"/>
          <w:lang w:val="ro-MD"/>
        </w:rPr>
        <w:t>55</w:t>
      </w:r>
      <w:r w:rsidRPr="00312485">
        <w:rPr>
          <w:color w:val="000000"/>
          <w:sz w:val="24"/>
          <w:lang w:val="ro-MD"/>
        </w:rPr>
        <w:t>% în PIB fiind determinat de un nivel ridicat de cheltuieli pe măsuri temporare aferente crizei refugiaților și crizei energetice.</w:t>
      </w:r>
    </w:p>
    <w:p w14:paraId="5DCA92EC" w14:textId="34407242" w:rsidR="003250CA" w:rsidRPr="00312485" w:rsidRDefault="003250CA" w:rsidP="007654A5">
      <w:pPr>
        <w:ind w:firstLine="567"/>
        <w:rPr>
          <w:color w:val="000000"/>
          <w:sz w:val="24"/>
          <w:lang w:val="ro-MD"/>
        </w:rPr>
      </w:pPr>
      <w:r w:rsidRPr="00312485">
        <w:rPr>
          <w:color w:val="000000"/>
          <w:sz w:val="24"/>
          <w:lang w:val="ro-MD"/>
        </w:rPr>
        <w:t>În perioada 2023</w:t>
      </w:r>
      <w:r w:rsidR="009100D9" w:rsidRPr="00312485">
        <w:rPr>
          <w:color w:val="000000"/>
          <w:sz w:val="24"/>
          <w:lang w:val="ro-MD"/>
        </w:rPr>
        <w:t>-</w:t>
      </w:r>
      <w:r w:rsidRPr="00312485">
        <w:rPr>
          <w:color w:val="000000"/>
          <w:sz w:val="24"/>
          <w:lang w:val="ro-MD"/>
        </w:rPr>
        <w:t>2025, situația fiscală a fost destul de dificilă marcată de presiuni majore asupra bugetului public, generate de mai mulți factori. Statul a fost nevoit să aloce resurse suplimentare pentru asigurarea securității energetice și sprijinirea populației vulnerabile. Inflația ridicată a redus puterea de cumpărare a cetățenilor, în timp ce efectele schimbărilor climatice și procesul de tranziție energetică au impus intervenții rapide și costisitoare. În plus, scăderea comerțului internațional</w:t>
      </w:r>
      <w:r w:rsidR="00DF14CD" w:rsidRPr="00312485">
        <w:rPr>
          <w:color w:val="000000"/>
          <w:sz w:val="24"/>
          <w:lang w:val="ro-MD"/>
        </w:rPr>
        <w:t>,</w:t>
      </w:r>
      <w:r w:rsidRPr="00312485">
        <w:rPr>
          <w:color w:val="000000"/>
          <w:sz w:val="24"/>
          <w:lang w:val="ro-MD"/>
        </w:rPr>
        <w:t xml:space="preserve"> cauzată de încetinirea economiei mondiale, în special în țările partenere</w:t>
      </w:r>
      <w:r w:rsidR="00CD6A70" w:rsidRPr="00312485">
        <w:rPr>
          <w:color w:val="000000"/>
          <w:sz w:val="24"/>
          <w:lang w:val="ro-MD"/>
        </w:rPr>
        <w:t xml:space="preserve">, </w:t>
      </w:r>
      <w:r w:rsidRPr="00312485">
        <w:rPr>
          <w:color w:val="000000"/>
          <w:sz w:val="24"/>
          <w:lang w:val="ro-MD"/>
        </w:rPr>
        <w:t>a afectat veniturile bugetare. Aceste circumstanțe au contribuit la menținerea unui nivel ridicat al deficitului structural, în anul 2025 acesta fiind est</w:t>
      </w:r>
      <w:r w:rsidR="001D5FB3" w:rsidRPr="00312485">
        <w:rPr>
          <w:color w:val="000000"/>
          <w:sz w:val="24"/>
          <w:lang w:val="ro-MD"/>
        </w:rPr>
        <w:t xml:space="preserve">imat la nivel de </w:t>
      </w:r>
      <w:r w:rsidR="00CD6A70" w:rsidRPr="00312485">
        <w:rPr>
          <w:color w:val="000000"/>
          <w:sz w:val="24"/>
          <w:lang w:val="ro-MD"/>
        </w:rPr>
        <w:t>3,63</w:t>
      </w:r>
      <w:r w:rsidR="001D5FB3" w:rsidRPr="00312485">
        <w:rPr>
          <w:color w:val="000000"/>
          <w:sz w:val="24"/>
          <w:lang w:val="ro-MD"/>
        </w:rPr>
        <w:t>% în PIB.</w:t>
      </w:r>
    </w:p>
    <w:p w14:paraId="3F735714" w14:textId="45D8877C" w:rsidR="003250CA" w:rsidRPr="00312485" w:rsidRDefault="003250CA" w:rsidP="007654A5">
      <w:pPr>
        <w:ind w:firstLine="567"/>
        <w:rPr>
          <w:color w:val="000000"/>
          <w:sz w:val="24"/>
          <w:lang w:val="ro-MD"/>
        </w:rPr>
      </w:pPr>
      <w:r w:rsidRPr="00312485">
        <w:rPr>
          <w:color w:val="000000"/>
          <w:sz w:val="24"/>
          <w:lang w:val="ro-MD"/>
        </w:rPr>
        <w:t>Pentru perioada anilor 2026-2028 nivelul deficitului bugetului public național  înregistrează un trend descrescător – de la 5,39% PIB în anul 2026, ajungând la 4,22% PIB în anul 2028, iar evoluția deficitului structural către anul 2028 va constitui – 4,84 % în PIB. Faptul că deficitul structural pentru anii 2027-2028 este mai mare dec</w:t>
      </w:r>
      <w:r w:rsidR="001D5FB3" w:rsidRPr="00312485">
        <w:rPr>
          <w:color w:val="000000"/>
          <w:sz w:val="24"/>
          <w:lang w:val="ro-MD"/>
        </w:rPr>
        <w:t>â</w:t>
      </w:r>
      <w:r w:rsidRPr="00312485">
        <w:rPr>
          <w:color w:val="000000"/>
          <w:sz w:val="24"/>
          <w:lang w:val="ro-MD"/>
        </w:rPr>
        <w:t>t deficitul bugetar este datorat unui decalaj de producție estimat în valoare pozitivă (0,22% și 1,74% în PIB pentru anii 2027- 2028), adică economia funcționează peste potențialul său. Cu alte cuvinte, cererea agregată depășește nivelul pe care economia îl poate susține pe termen lung fără să genereze presiuni inflaționiste. Totodată, creșterea cheltuielilor bugetare din contul facilitații de creștere economic</w:t>
      </w:r>
      <w:r w:rsidR="007905E6" w:rsidRPr="00312485">
        <w:rPr>
          <w:color w:val="000000"/>
          <w:sz w:val="24"/>
          <w:lang w:val="ro-MD"/>
        </w:rPr>
        <w:t>ă</w:t>
      </w:r>
      <w:r w:rsidRPr="00312485">
        <w:rPr>
          <w:color w:val="000000"/>
          <w:sz w:val="24"/>
          <w:lang w:val="ro-MD"/>
        </w:rPr>
        <w:t>, în special direcționate sectoarelor economice, creează un impuls fiscal pozitiv pentru relansarea economiei pe termen mediu și lung.</w:t>
      </w:r>
    </w:p>
    <w:p w14:paraId="0ECE5A91" w14:textId="53A6A6A8" w:rsidR="00ED4566" w:rsidRPr="00312485" w:rsidRDefault="00ED4566" w:rsidP="005746E0">
      <w:pPr>
        <w:widowControl w:val="0"/>
        <w:ind w:firstLine="567"/>
        <w:rPr>
          <w:color w:val="000000"/>
          <w:sz w:val="24"/>
          <w:lang w:val="ro-MD"/>
        </w:rPr>
      </w:pPr>
      <w:r w:rsidRPr="00312485">
        <w:rPr>
          <w:color w:val="000000"/>
          <w:sz w:val="24"/>
          <w:lang w:val="ro-MD"/>
        </w:rPr>
        <w:t>În concluzie, nivelul ridicat al deficitului structural semnalează necesitatea unor reforme și a unei planificări bugetare mai prudente, pentru a evita acumularea de dezechilibre care pot pune în pericol stabilitatea economică pe termen lung.</w:t>
      </w:r>
    </w:p>
    <w:p w14:paraId="1D7521F4" w14:textId="01031184" w:rsidR="00ED4566" w:rsidRPr="00312485" w:rsidRDefault="00ED4566" w:rsidP="00ED4566">
      <w:pPr>
        <w:ind w:firstLine="360"/>
        <w:rPr>
          <w:color w:val="000000"/>
          <w:sz w:val="24"/>
          <w:lang w:val="ro-MD"/>
        </w:rPr>
      </w:pPr>
      <w:r w:rsidRPr="00312485">
        <w:rPr>
          <w:color w:val="000000"/>
          <w:sz w:val="24"/>
          <w:lang w:val="ro-MD"/>
        </w:rPr>
        <w:t>Pentru a asigura o guvernanță fiscală sustenabilă, este necesar</w:t>
      </w:r>
      <w:r w:rsidR="007654A5">
        <w:rPr>
          <w:color w:val="000000"/>
          <w:sz w:val="24"/>
          <w:lang w:val="ro-MD"/>
        </w:rPr>
        <w:t xml:space="preserve"> de</w:t>
      </w:r>
      <w:r w:rsidRPr="00312485">
        <w:rPr>
          <w:color w:val="000000"/>
          <w:sz w:val="24"/>
          <w:lang w:val="ro-MD"/>
        </w:rPr>
        <w:t>:</w:t>
      </w:r>
    </w:p>
    <w:p w14:paraId="31A446BD" w14:textId="19B81B14" w:rsidR="00ED4566" w:rsidRPr="00312485" w:rsidRDefault="005A3003" w:rsidP="00E62EB7">
      <w:pPr>
        <w:pStyle w:val="Listparagraf"/>
        <w:numPr>
          <w:ilvl w:val="0"/>
          <w:numId w:val="39"/>
        </w:numPr>
        <w:rPr>
          <w:color w:val="000000"/>
          <w:sz w:val="24"/>
          <w:lang w:val="ro-MD"/>
        </w:rPr>
      </w:pPr>
      <w:r w:rsidRPr="00312485">
        <w:rPr>
          <w:color w:val="000000"/>
          <w:sz w:val="24"/>
          <w:lang w:val="ro-MD"/>
        </w:rPr>
        <w:t>r</w:t>
      </w:r>
      <w:r w:rsidR="00ED4566" w:rsidRPr="00312485">
        <w:rPr>
          <w:color w:val="000000"/>
          <w:sz w:val="24"/>
          <w:lang w:val="ro-MD"/>
        </w:rPr>
        <w:t>educerea graduală a deficitului structural prin măsuri echilibrate: creșterea veniturilor și eficientizarea cheltuielilor;</w:t>
      </w:r>
    </w:p>
    <w:p w14:paraId="063A83E0" w14:textId="3B52B462" w:rsidR="00ED4566" w:rsidRPr="00312485" w:rsidRDefault="005A3003" w:rsidP="00E62EB7">
      <w:pPr>
        <w:pStyle w:val="Listparagraf"/>
        <w:numPr>
          <w:ilvl w:val="0"/>
          <w:numId w:val="39"/>
        </w:numPr>
        <w:rPr>
          <w:color w:val="000000"/>
          <w:sz w:val="24"/>
          <w:lang w:val="ro-MD"/>
        </w:rPr>
      </w:pPr>
      <w:r w:rsidRPr="00312485">
        <w:rPr>
          <w:color w:val="000000"/>
          <w:sz w:val="24"/>
          <w:lang w:val="ro-MD"/>
        </w:rPr>
        <w:t>c</w:t>
      </w:r>
      <w:r w:rsidR="00ED4566" w:rsidRPr="00312485">
        <w:rPr>
          <w:color w:val="000000"/>
          <w:sz w:val="24"/>
          <w:lang w:val="ro-MD"/>
        </w:rPr>
        <w:t>ontinuarea reformelor fiscale, în special în direcția digitalizării, combaterii evaziunii și creșterii transparenței bugetare;</w:t>
      </w:r>
    </w:p>
    <w:p w14:paraId="0DE1D93B" w14:textId="5FA28B40" w:rsidR="00ED4566" w:rsidRPr="00312485" w:rsidRDefault="005A3003" w:rsidP="00E62EB7">
      <w:pPr>
        <w:pStyle w:val="Listparagraf"/>
        <w:numPr>
          <w:ilvl w:val="0"/>
          <w:numId w:val="39"/>
        </w:numPr>
        <w:rPr>
          <w:color w:val="000000"/>
          <w:sz w:val="24"/>
          <w:lang w:val="ro-MD"/>
        </w:rPr>
      </w:pPr>
      <w:r w:rsidRPr="00312485">
        <w:rPr>
          <w:color w:val="000000"/>
          <w:sz w:val="24"/>
          <w:lang w:val="ro-MD"/>
        </w:rPr>
        <w:t>m</w:t>
      </w:r>
      <w:r w:rsidR="00ED4566" w:rsidRPr="00312485">
        <w:rPr>
          <w:color w:val="000000"/>
          <w:sz w:val="24"/>
          <w:lang w:val="ro-MD"/>
        </w:rPr>
        <w:t>onitorizarea continuă a poziției fiscale prin indicatori macroeconomici, precum decalajul de producție și dinamica PIB-ului potențial.</w:t>
      </w:r>
    </w:p>
    <w:p w14:paraId="0D0A010F" w14:textId="3D393C81" w:rsidR="00787016" w:rsidRPr="00312485" w:rsidRDefault="00787016" w:rsidP="00266FF7">
      <w:pPr>
        <w:autoSpaceDE w:val="0"/>
        <w:autoSpaceDN w:val="0"/>
        <w:adjustRightInd w:val="0"/>
        <w:ind w:firstLine="0"/>
        <w:rPr>
          <w:sz w:val="24"/>
          <w:szCs w:val="24"/>
          <w:lang w:val="ro-MD" w:eastAsia="ru-RU"/>
        </w:rPr>
      </w:pPr>
    </w:p>
    <w:p w14:paraId="2A5B89C6" w14:textId="25AB2297" w:rsidR="00780169" w:rsidRPr="00312485" w:rsidRDefault="00780169" w:rsidP="009C222A">
      <w:pPr>
        <w:ind w:firstLine="567"/>
        <w:rPr>
          <w:b/>
          <w:sz w:val="24"/>
          <w:szCs w:val="24"/>
          <w:lang w:val="ro-MD"/>
        </w:rPr>
      </w:pPr>
      <w:r w:rsidRPr="00312485">
        <w:rPr>
          <w:b/>
          <w:sz w:val="24"/>
          <w:szCs w:val="24"/>
          <w:lang w:val="ro-MD"/>
        </w:rPr>
        <w:t>D. Eficientizarea cheltuielilor publice</w:t>
      </w:r>
    </w:p>
    <w:p w14:paraId="14C135CB" w14:textId="77777777" w:rsidR="00780169" w:rsidRPr="00312485" w:rsidRDefault="00780169" w:rsidP="00780169">
      <w:pPr>
        <w:jc w:val="center"/>
        <w:rPr>
          <w:b/>
          <w:sz w:val="24"/>
          <w:szCs w:val="24"/>
          <w:lang w:val="ro-MD"/>
        </w:rPr>
      </w:pPr>
    </w:p>
    <w:p w14:paraId="53395D73" w14:textId="2B41788C" w:rsidR="00780169" w:rsidRPr="00312485" w:rsidRDefault="00780169" w:rsidP="00780169">
      <w:pPr>
        <w:ind w:firstLine="567"/>
        <w:rPr>
          <w:sz w:val="24"/>
          <w:szCs w:val="24"/>
          <w:lang w:val="ro-MD"/>
        </w:rPr>
      </w:pPr>
      <w:r w:rsidRPr="00312485">
        <w:rPr>
          <w:sz w:val="24"/>
          <w:szCs w:val="24"/>
          <w:lang w:val="ro-MD"/>
        </w:rPr>
        <w:t>Sporirea eficienței cheltuielilor bugetare reprezintă o prioritate pe termen mediu și lung a Guvernului. Un obiectiv-cheie al subdomeniului „Managementul finanțelor publice” din Agenda de reforme aferent</w:t>
      </w:r>
      <w:r w:rsidR="00867A5C">
        <w:rPr>
          <w:sz w:val="24"/>
          <w:szCs w:val="24"/>
          <w:lang w:val="ro-MD"/>
        </w:rPr>
        <w:t>e</w:t>
      </w:r>
      <w:r w:rsidRPr="00312485">
        <w:rPr>
          <w:sz w:val="24"/>
          <w:szCs w:val="24"/>
          <w:lang w:val="ro-MD"/>
        </w:rPr>
        <w:t xml:space="preserve"> Planului de creștere al Republicii Moldova pentru 2025-2027, aprobată prin Hotărârea Guvernului nr.260/2025, vizează economii bine direcționate și durabile, precum și creșterea calității cheltuielilor, prin instituționalizarea procesului de</w:t>
      </w:r>
      <w:r w:rsidR="00582740" w:rsidRPr="00312485">
        <w:rPr>
          <w:sz w:val="24"/>
          <w:szCs w:val="24"/>
          <w:lang w:val="ro-MD"/>
        </w:rPr>
        <w:t xml:space="preserve"> raționalizare a cheltuielilor.</w:t>
      </w:r>
    </w:p>
    <w:p w14:paraId="5AC2E12A" w14:textId="452EEBF8" w:rsidR="00780169" w:rsidRPr="00312485" w:rsidRDefault="00780169" w:rsidP="00780169">
      <w:pPr>
        <w:ind w:firstLine="567"/>
        <w:rPr>
          <w:sz w:val="24"/>
          <w:szCs w:val="24"/>
          <w:lang w:val="ro-MD"/>
        </w:rPr>
      </w:pPr>
      <w:r w:rsidRPr="00312485">
        <w:rPr>
          <w:sz w:val="24"/>
          <w:szCs w:val="24"/>
          <w:lang w:val="ro-MD"/>
        </w:rPr>
        <w:t>Prin modificarea Legii finanțelor publice și responsabilității bugetar-fiscale nr.181/2014, se prevede instituționalizarea acestui proces, care</w:t>
      </w:r>
      <w:r w:rsidR="009173C2" w:rsidRPr="00312485">
        <w:rPr>
          <w:sz w:val="24"/>
          <w:szCs w:val="24"/>
          <w:lang w:val="ro-MD"/>
        </w:rPr>
        <w:t xml:space="preserve"> </w:t>
      </w:r>
      <w:r w:rsidRPr="00312485">
        <w:rPr>
          <w:sz w:val="24"/>
          <w:szCs w:val="24"/>
          <w:lang w:val="ro-MD"/>
        </w:rPr>
        <w:t>va garanta efectuarea exercițiului de raționalizare a cheltuielilor în fiecare sector gestionat de ministere, o dată la cel mult 7 ani. Astfel, raționalizarea cheltuielilor devine o activitate continuă, integrată în procesul bugetar.</w:t>
      </w:r>
      <w:r w:rsidRPr="00312485" w:rsidDel="00D75D9F">
        <w:rPr>
          <w:sz w:val="24"/>
          <w:szCs w:val="24"/>
          <w:lang w:val="ro-MD"/>
        </w:rPr>
        <w:t xml:space="preserve"> </w:t>
      </w:r>
    </w:p>
    <w:p w14:paraId="0144E0AD" w14:textId="024DE15D" w:rsidR="00780169" w:rsidRPr="00312485" w:rsidRDefault="00780169" w:rsidP="00780169">
      <w:pPr>
        <w:ind w:firstLine="567"/>
        <w:rPr>
          <w:sz w:val="24"/>
          <w:szCs w:val="24"/>
          <w:lang w:val="ro-MD"/>
        </w:rPr>
      </w:pPr>
      <w:r w:rsidRPr="00312485">
        <w:rPr>
          <w:sz w:val="24"/>
          <w:szCs w:val="24"/>
          <w:lang w:val="ro-MD"/>
        </w:rPr>
        <w:lastRenderedPageBreak/>
        <w:t>Scopul acestui proces este de a crea spațiu bugetar pentru noi priorități sau presiuni fiscale, prin realocarea cheltuielilor cu impact redus, ineficiente sau ineficace, în baza unei analize detaliate</w:t>
      </w:r>
      <w:r w:rsidR="006C57B6">
        <w:rPr>
          <w:sz w:val="24"/>
          <w:szCs w:val="24"/>
          <w:lang w:val="ro-MD"/>
        </w:rPr>
        <w:t>.</w:t>
      </w:r>
      <w:r w:rsidRPr="00312485" w:rsidDel="00D75D9F">
        <w:rPr>
          <w:sz w:val="24"/>
          <w:szCs w:val="24"/>
          <w:lang w:val="ro-MD"/>
        </w:rPr>
        <w:t xml:space="preserve"> </w:t>
      </w:r>
      <w:r w:rsidRPr="00312485">
        <w:rPr>
          <w:sz w:val="24"/>
          <w:szCs w:val="24"/>
          <w:lang w:val="ro-MD"/>
        </w:rPr>
        <w:t>Începând cu anul 2018</w:t>
      </w:r>
      <w:r w:rsidR="006C57B6">
        <w:rPr>
          <w:sz w:val="24"/>
          <w:szCs w:val="24"/>
          <w:lang w:val="ro-MD"/>
        </w:rPr>
        <w:t>,</w:t>
      </w:r>
      <w:r w:rsidRPr="00312485">
        <w:rPr>
          <w:sz w:val="24"/>
          <w:szCs w:val="24"/>
          <w:lang w:val="ro-MD"/>
        </w:rPr>
        <w:t xml:space="preserve"> exercițiile de raționalizare a cheltuielilor au fost realizate cu sprijinul experților internaționali. Cel de-al patrulea exercițiu de raționalizare a cheltuielilor, desfășurat în anul 2024, a vizat </w:t>
      </w:r>
      <w:r w:rsidRPr="00312485">
        <w:rPr>
          <w:i/>
          <w:sz w:val="24"/>
          <w:szCs w:val="24"/>
          <w:lang w:val="ro-MD"/>
        </w:rPr>
        <w:t xml:space="preserve">sectorul </w:t>
      </w:r>
      <w:r w:rsidRPr="00312485">
        <w:rPr>
          <w:i/>
          <w:iCs/>
          <w:sz w:val="24"/>
          <w:szCs w:val="24"/>
          <w:lang w:val="ro-MD"/>
        </w:rPr>
        <w:t>protecției sociale,</w:t>
      </w:r>
      <w:r w:rsidRPr="00312485">
        <w:rPr>
          <w:iCs/>
          <w:sz w:val="24"/>
          <w:szCs w:val="24"/>
          <w:lang w:val="ro-MD"/>
        </w:rPr>
        <w:t xml:space="preserve"> </w:t>
      </w:r>
      <w:r w:rsidRPr="00312485">
        <w:rPr>
          <w:sz w:val="24"/>
          <w:szCs w:val="24"/>
          <w:lang w:val="ro-MD"/>
        </w:rPr>
        <w:t xml:space="preserve">concentrându-se pe veniturile bugetului asigurărilor sociale de stat (BASS), în special pe aspectele facilităților tarifare și scutirilor la plata contribuțiilor sociale de stat existente la moment și pe anumite prestații sociale, cum ar fi indemnizațiile pentru incapacitate temporară de muncă, sprijinul acordat familiilor cu copii, ajutoare sociale în cazuri excepționale, protecția socială a unor categorii de cetățeni. </w:t>
      </w:r>
    </w:p>
    <w:p w14:paraId="4A6C0D36" w14:textId="37709FFB" w:rsidR="00780169" w:rsidRPr="00312485" w:rsidRDefault="00780169" w:rsidP="00780169">
      <w:pPr>
        <w:ind w:firstLine="567"/>
        <w:rPr>
          <w:sz w:val="24"/>
          <w:szCs w:val="24"/>
          <w:lang w:val="ro-MD"/>
        </w:rPr>
      </w:pPr>
      <w:r w:rsidRPr="00312485">
        <w:rPr>
          <w:sz w:val="24"/>
          <w:szCs w:val="24"/>
          <w:lang w:val="ro-MD"/>
        </w:rPr>
        <w:t>Exercițiul a fost realizat de un grup de lucru format din reprezentanți ai Ministerului Muncii și Protecției Sociale, Ministerului Finanțelor și Casei Naționale de Asigurări Sociale. Ca urmare</w:t>
      </w:r>
      <w:r w:rsidR="00DE7CDC" w:rsidRPr="00312485">
        <w:rPr>
          <w:sz w:val="24"/>
          <w:szCs w:val="24"/>
          <w:lang w:val="ro-MD"/>
        </w:rPr>
        <w:t>,</w:t>
      </w:r>
      <w:r w:rsidRPr="00312485">
        <w:rPr>
          <w:sz w:val="24"/>
          <w:szCs w:val="24"/>
          <w:lang w:val="ro-MD"/>
        </w:rPr>
        <w:t xml:space="preserve"> a fost elaborat un proiect de raport care include măsuri de eficientizare și potențiale economii, în vederea fundamentării deciziilor de politică bugetară și asigurării sustenabilității financiare a sistemului de protecție socială.</w:t>
      </w:r>
    </w:p>
    <w:p w14:paraId="2C87056D" w14:textId="77777777" w:rsidR="00787016" w:rsidRPr="00312485" w:rsidRDefault="00787016" w:rsidP="00787016">
      <w:pPr>
        <w:pageBreakBefore/>
        <w:autoSpaceDE w:val="0"/>
        <w:autoSpaceDN w:val="0"/>
        <w:adjustRightInd w:val="0"/>
        <w:ind w:firstLine="567"/>
        <w:jc w:val="left"/>
        <w:rPr>
          <w:rFonts w:eastAsia="Calibri"/>
          <w:b/>
          <w:sz w:val="24"/>
          <w:szCs w:val="26"/>
          <w:lang w:val="ro-MD"/>
        </w:rPr>
      </w:pPr>
      <w:r w:rsidRPr="00312485">
        <w:rPr>
          <w:rFonts w:eastAsia="Calibri"/>
          <w:b/>
          <w:sz w:val="24"/>
          <w:szCs w:val="26"/>
          <w:lang w:val="ro-MD"/>
        </w:rPr>
        <w:lastRenderedPageBreak/>
        <w:t>ACRONIME</w:t>
      </w:r>
    </w:p>
    <w:p w14:paraId="52E7FD4A" w14:textId="77777777" w:rsidR="00787016" w:rsidRPr="00312485" w:rsidRDefault="00787016" w:rsidP="00787016">
      <w:pPr>
        <w:autoSpaceDE w:val="0"/>
        <w:autoSpaceDN w:val="0"/>
        <w:adjustRightInd w:val="0"/>
        <w:ind w:firstLine="567"/>
        <w:jc w:val="left"/>
        <w:rPr>
          <w:rFonts w:eastAsia="Calibri"/>
          <w:sz w:val="24"/>
          <w:szCs w:val="26"/>
          <w:lang w:val="ro-MD"/>
        </w:rPr>
      </w:pPr>
    </w:p>
    <w:p w14:paraId="28ECDFCB" w14:textId="77777777" w:rsidR="00787016" w:rsidRPr="00312485" w:rsidRDefault="00787016" w:rsidP="00787016">
      <w:pPr>
        <w:autoSpaceDE w:val="0"/>
        <w:autoSpaceDN w:val="0"/>
        <w:adjustRightInd w:val="0"/>
        <w:spacing w:before="240"/>
        <w:ind w:firstLine="567"/>
        <w:jc w:val="left"/>
        <w:rPr>
          <w:rFonts w:eastAsia="Calibri"/>
          <w:sz w:val="24"/>
          <w:szCs w:val="26"/>
          <w:lang w:val="ro-MD"/>
        </w:rPr>
      </w:pPr>
      <w:r w:rsidRPr="00312485">
        <w:rPr>
          <w:rFonts w:eastAsia="Calibri"/>
          <w:sz w:val="24"/>
          <w:szCs w:val="26"/>
          <w:lang w:val="ro-MD"/>
        </w:rPr>
        <w:t xml:space="preserve">CIPS </w:t>
      </w:r>
      <w:r w:rsidRPr="00312485">
        <w:rPr>
          <w:rFonts w:eastAsia="Calibri"/>
          <w:sz w:val="24"/>
          <w:szCs w:val="26"/>
          <w:lang w:val="ro-MD"/>
        </w:rPr>
        <w:tab/>
      </w:r>
      <w:r w:rsidRPr="00312485">
        <w:rPr>
          <w:rFonts w:eastAsia="Calibri"/>
          <w:sz w:val="24"/>
          <w:szCs w:val="26"/>
          <w:lang w:val="ro-MD"/>
        </w:rPr>
        <w:tab/>
        <w:t>Comitetul interministerial pentru planificare strategică</w:t>
      </w:r>
    </w:p>
    <w:p w14:paraId="22523568" w14:textId="77777777" w:rsidR="00787016" w:rsidRPr="00312485" w:rsidRDefault="00787016" w:rsidP="00787016">
      <w:pPr>
        <w:spacing w:before="240" w:after="160" w:line="276" w:lineRule="auto"/>
        <w:ind w:firstLine="567"/>
        <w:jc w:val="left"/>
        <w:rPr>
          <w:rFonts w:eastAsia="Calibri"/>
          <w:sz w:val="24"/>
          <w:szCs w:val="24"/>
          <w:lang w:val="ro-MD"/>
        </w:rPr>
      </w:pPr>
      <w:r w:rsidRPr="00312485">
        <w:rPr>
          <w:rFonts w:eastAsia="Calibri"/>
          <w:sz w:val="24"/>
          <w:szCs w:val="24"/>
          <w:lang w:val="ro-MD"/>
        </w:rPr>
        <w:t xml:space="preserve">BPN </w:t>
      </w:r>
      <w:r w:rsidRPr="00312485">
        <w:rPr>
          <w:rFonts w:eastAsia="Calibri"/>
          <w:sz w:val="24"/>
          <w:szCs w:val="24"/>
          <w:lang w:val="ro-MD"/>
        </w:rPr>
        <w:tab/>
        <w:t xml:space="preserve">  </w:t>
      </w:r>
      <w:r w:rsidRPr="00312485">
        <w:rPr>
          <w:rFonts w:eastAsia="Calibri"/>
          <w:sz w:val="24"/>
          <w:szCs w:val="24"/>
          <w:lang w:val="ro-MD"/>
        </w:rPr>
        <w:tab/>
        <w:t>Bugetul public național</w:t>
      </w:r>
    </w:p>
    <w:p w14:paraId="46D79545"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sz w:val="24"/>
          <w:szCs w:val="24"/>
          <w:lang w:val="ro-MD"/>
        </w:rPr>
        <w:t xml:space="preserve">BL  </w:t>
      </w:r>
      <w:r w:rsidRPr="00312485">
        <w:rPr>
          <w:rFonts w:eastAsia="Calibri"/>
          <w:sz w:val="24"/>
          <w:szCs w:val="24"/>
          <w:lang w:val="ro-MD"/>
        </w:rPr>
        <w:tab/>
        <w:t xml:space="preserve">  </w:t>
      </w:r>
      <w:r w:rsidRPr="00312485">
        <w:rPr>
          <w:rFonts w:eastAsia="Calibri"/>
          <w:sz w:val="24"/>
          <w:szCs w:val="24"/>
          <w:lang w:val="ro-MD"/>
        </w:rPr>
        <w:tab/>
        <w:t>Bugetul local</w:t>
      </w:r>
    </w:p>
    <w:p w14:paraId="578664A3"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sz w:val="24"/>
          <w:szCs w:val="24"/>
          <w:lang w:val="ro-MD"/>
        </w:rPr>
        <w:t xml:space="preserve">BASS  </w:t>
      </w:r>
      <w:r w:rsidRPr="00312485">
        <w:rPr>
          <w:rFonts w:eastAsia="Calibri"/>
          <w:sz w:val="24"/>
          <w:szCs w:val="24"/>
          <w:lang w:val="ro-MD"/>
        </w:rPr>
        <w:tab/>
        <w:t xml:space="preserve">  </w:t>
      </w:r>
      <w:r w:rsidRPr="00312485">
        <w:rPr>
          <w:rFonts w:eastAsia="Calibri"/>
          <w:sz w:val="24"/>
          <w:szCs w:val="24"/>
          <w:lang w:val="ro-MD"/>
        </w:rPr>
        <w:tab/>
        <w:t xml:space="preserve">Bugetul asigurărilor sociale de stat </w:t>
      </w:r>
    </w:p>
    <w:p w14:paraId="59CFA29F"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sz w:val="24"/>
          <w:szCs w:val="24"/>
          <w:lang w:val="ro-MD"/>
        </w:rPr>
        <w:t xml:space="preserve">FAOAM  </w:t>
      </w:r>
      <w:r w:rsidRPr="00312485">
        <w:rPr>
          <w:rFonts w:eastAsia="Calibri"/>
          <w:sz w:val="24"/>
          <w:szCs w:val="24"/>
          <w:lang w:val="ro-MD"/>
        </w:rPr>
        <w:tab/>
        <w:t>Fondurile asigurărilor obligatorii de asistență medicală</w:t>
      </w:r>
    </w:p>
    <w:p w14:paraId="0D9E8CB3" w14:textId="77777777" w:rsidR="00787016" w:rsidRPr="00312485" w:rsidRDefault="00787016" w:rsidP="00787016">
      <w:pPr>
        <w:spacing w:after="160" w:line="276" w:lineRule="auto"/>
        <w:ind w:firstLine="567"/>
        <w:jc w:val="left"/>
        <w:rPr>
          <w:rFonts w:eastAsia="Calibri"/>
          <w:b/>
          <w:sz w:val="24"/>
          <w:szCs w:val="24"/>
          <w:lang w:val="ro-MD"/>
        </w:rPr>
      </w:pPr>
      <w:r w:rsidRPr="00312485">
        <w:rPr>
          <w:rFonts w:eastAsia="Calibri"/>
          <w:bCs/>
          <w:sz w:val="24"/>
          <w:szCs w:val="24"/>
          <w:lang w:val="ro-MD"/>
        </w:rPr>
        <w:t xml:space="preserve">IPC  </w:t>
      </w:r>
      <w:r w:rsidRPr="00312485">
        <w:rPr>
          <w:rFonts w:eastAsia="Calibri"/>
          <w:bCs/>
          <w:sz w:val="24"/>
          <w:szCs w:val="24"/>
          <w:lang w:val="ro-MD"/>
        </w:rPr>
        <w:tab/>
        <w:t xml:space="preserve"> </w:t>
      </w:r>
      <w:r w:rsidRPr="00312485">
        <w:rPr>
          <w:rFonts w:eastAsia="Calibri"/>
          <w:bCs/>
          <w:sz w:val="24"/>
          <w:szCs w:val="24"/>
          <w:lang w:val="ro-MD"/>
        </w:rPr>
        <w:tab/>
        <w:t>Indexul prețurilor de consum</w:t>
      </w:r>
    </w:p>
    <w:p w14:paraId="168867D3"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sz w:val="24"/>
          <w:szCs w:val="24"/>
          <w:lang w:val="ro-MD"/>
        </w:rPr>
        <w:t xml:space="preserve">VMS  </w:t>
      </w:r>
      <w:r w:rsidRPr="00312485">
        <w:rPr>
          <w:rFonts w:eastAsia="Calibri"/>
          <w:sz w:val="24"/>
          <w:szCs w:val="24"/>
          <w:lang w:val="ro-MD"/>
        </w:rPr>
        <w:tab/>
        <w:t xml:space="preserve"> </w:t>
      </w:r>
      <w:r w:rsidRPr="00312485">
        <w:rPr>
          <w:rFonts w:eastAsia="Calibri"/>
          <w:sz w:val="24"/>
          <w:szCs w:val="24"/>
          <w:lang w:val="ro-MD"/>
        </w:rPr>
        <w:tab/>
        <w:t>Valorile mobiliare de stat</w:t>
      </w:r>
    </w:p>
    <w:p w14:paraId="0A03D75B"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sz w:val="24"/>
          <w:szCs w:val="24"/>
          <w:lang w:val="ro-MD"/>
        </w:rPr>
        <w:t xml:space="preserve">PIB </w:t>
      </w:r>
      <w:r w:rsidRPr="00312485">
        <w:rPr>
          <w:rFonts w:eastAsia="Calibri"/>
          <w:sz w:val="24"/>
          <w:szCs w:val="24"/>
          <w:lang w:val="ro-MD"/>
        </w:rPr>
        <w:tab/>
        <w:t xml:space="preserve">  </w:t>
      </w:r>
      <w:r w:rsidRPr="00312485">
        <w:rPr>
          <w:rFonts w:eastAsia="Calibri"/>
          <w:sz w:val="24"/>
          <w:szCs w:val="24"/>
          <w:lang w:val="ro-MD"/>
        </w:rPr>
        <w:tab/>
        <w:t>Produsul intern brut</w:t>
      </w:r>
    </w:p>
    <w:p w14:paraId="50697F65" w14:textId="77777777" w:rsidR="00787016" w:rsidRPr="00312485" w:rsidRDefault="00787016" w:rsidP="00787016">
      <w:pPr>
        <w:spacing w:after="160" w:line="276" w:lineRule="auto"/>
        <w:ind w:firstLine="567"/>
        <w:jc w:val="left"/>
        <w:rPr>
          <w:rFonts w:eastAsia="Calibri"/>
          <w:bCs/>
          <w:sz w:val="24"/>
          <w:szCs w:val="24"/>
          <w:lang w:val="ro-MD"/>
        </w:rPr>
      </w:pPr>
      <w:r w:rsidRPr="00312485">
        <w:rPr>
          <w:rFonts w:eastAsia="Calibri"/>
          <w:bCs/>
          <w:sz w:val="24"/>
          <w:szCs w:val="24"/>
          <w:lang w:val="ro-MD"/>
        </w:rPr>
        <w:t xml:space="preserve">TVA </w:t>
      </w:r>
      <w:r w:rsidRPr="00312485">
        <w:rPr>
          <w:rFonts w:eastAsia="Calibri"/>
          <w:bCs/>
          <w:sz w:val="24"/>
          <w:szCs w:val="24"/>
          <w:lang w:val="ro-MD"/>
        </w:rPr>
        <w:tab/>
        <w:t xml:space="preserve"> </w:t>
      </w:r>
      <w:r w:rsidRPr="00312485">
        <w:rPr>
          <w:rFonts w:eastAsia="Calibri"/>
          <w:bCs/>
          <w:sz w:val="24"/>
          <w:szCs w:val="24"/>
          <w:lang w:val="ro-MD"/>
        </w:rPr>
        <w:tab/>
        <w:t>Taxa pe valoarea adăugată</w:t>
      </w:r>
    </w:p>
    <w:p w14:paraId="7A492E83" w14:textId="77777777" w:rsidR="00787016" w:rsidRPr="00312485" w:rsidRDefault="00787016" w:rsidP="00787016">
      <w:pPr>
        <w:spacing w:after="160" w:line="276" w:lineRule="auto"/>
        <w:ind w:firstLine="567"/>
        <w:jc w:val="left"/>
        <w:rPr>
          <w:rFonts w:eastAsia="Calibri"/>
          <w:sz w:val="24"/>
          <w:szCs w:val="34"/>
          <w:lang w:val="ro-MD"/>
        </w:rPr>
      </w:pPr>
      <w:r w:rsidRPr="00312485">
        <w:rPr>
          <w:rFonts w:eastAsia="Calibri"/>
          <w:sz w:val="24"/>
          <w:szCs w:val="34"/>
          <w:lang w:val="ro-MD"/>
        </w:rPr>
        <w:t xml:space="preserve">UE </w:t>
      </w:r>
      <w:r w:rsidRPr="00312485">
        <w:rPr>
          <w:rFonts w:eastAsia="Calibri"/>
          <w:sz w:val="24"/>
          <w:szCs w:val="34"/>
          <w:lang w:val="ro-MD"/>
        </w:rPr>
        <w:tab/>
        <w:t xml:space="preserve"> </w:t>
      </w:r>
      <w:r w:rsidRPr="00312485">
        <w:rPr>
          <w:rFonts w:eastAsia="Calibri"/>
          <w:sz w:val="24"/>
          <w:szCs w:val="34"/>
          <w:lang w:val="ro-MD"/>
        </w:rPr>
        <w:tab/>
        <w:t xml:space="preserve">Uniunea Europeană </w:t>
      </w:r>
    </w:p>
    <w:p w14:paraId="648A5C36" w14:textId="77777777" w:rsidR="00787016" w:rsidRPr="00312485" w:rsidRDefault="00787016" w:rsidP="00787016">
      <w:pPr>
        <w:spacing w:after="160" w:line="276" w:lineRule="auto"/>
        <w:ind w:firstLine="567"/>
        <w:jc w:val="left"/>
        <w:rPr>
          <w:rFonts w:eastAsia="Calibri"/>
          <w:sz w:val="24"/>
          <w:szCs w:val="28"/>
          <w:lang w:val="ro-MD"/>
        </w:rPr>
      </w:pPr>
      <w:r w:rsidRPr="00312485">
        <w:rPr>
          <w:rFonts w:eastAsia="Calibri"/>
          <w:sz w:val="24"/>
          <w:szCs w:val="28"/>
          <w:lang w:val="ro-MD"/>
        </w:rPr>
        <w:t>APC</w:t>
      </w:r>
      <w:r w:rsidRPr="00312485">
        <w:rPr>
          <w:rFonts w:eastAsia="Calibri"/>
          <w:sz w:val="24"/>
          <w:szCs w:val="28"/>
          <w:lang w:val="ro-MD"/>
        </w:rPr>
        <w:tab/>
        <w:t xml:space="preserve"> </w:t>
      </w:r>
      <w:r w:rsidRPr="00312485">
        <w:rPr>
          <w:rFonts w:eastAsia="Calibri"/>
          <w:sz w:val="24"/>
          <w:szCs w:val="28"/>
          <w:lang w:val="ro-MD"/>
        </w:rPr>
        <w:tab/>
        <w:t>Autorități publice centrale</w:t>
      </w:r>
    </w:p>
    <w:p w14:paraId="2B0070F0" w14:textId="77777777" w:rsidR="00787016" w:rsidRPr="00312485" w:rsidRDefault="00787016" w:rsidP="00787016">
      <w:pPr>
        <w:spacing w:after="160" w:line="276" w:lineRule="auto"/>
        <w:ind w:firstLine="567"/>
        <w:jc w:val="left"/>
        <w:rPr>
          <w:rFonts w:eastAsia="Calibri"/>
          <w:sz w:val="24"/>
          <w:szCs w:val="28"/>
          <w:lang w:val="ro-MD"/>
        </w:rPr>
      </w:pPr>
      <w:r w:rsidRPr="00312485">
        <w:rPr>
          <w:rFonts w:eastAsia="Calibri"/>
          <w:sz w:val="24"/>
          <w:szCs w:val="28"/>
          <w:lang w:val="ro-MD"/>
        </w:rPr>
        <w:t>FMI</w:t>
      </w:r>
      <w:r w:rsidRPr="00312485">
        <w:rPr>
          <w:rFonts w:eastAsia="Calibri"/>
          <w:sz w:val="24"/>
          <w:szCs w:val="28"/>
          <w:lang w:val="ro-MD"/>
        </w:rPr>
        <w:tab/>
      </w:r>
      <w:r w:rsidRPr="00312485">
        <w:rPr>
          <w:rFonts w:eastAsia="Calibri"/>
          <w:sz w:val="24"/>
          <w:szCs w:val="28"/>
          <w:lang w:val="ro-MD"/>
        </w:rPr>
        <w:tab/>
        <w:t>Fondul Monetar Internațional</w:t>
      </w:r>
    </w:p>
    <w:p w14:paraId="4AF9818D"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bCs/>
          <w:sz w:val="24"/>
          <w:szCs w:val="28"/>
          <w:lang w:val="ro-MD"/>
        </w:rPr>
        <w:t>ZEL</w:t>
      </w:r>
      <w:r w:rsidRPr="00312485">
        <w:rPr>
          <w:rFonts w:eastAsia="Calibri"/>
          <w:sz w:val="24"/>
          <w:szCs w:val="24"/>
          <w:lang w:val="ro-MD"/>
        </w:rPr>
        <w:t xml:space="preserve"> </w:t>
      </w:r>
      <w:r w:rsidRPr="00312485">
        <w:rPr>
          <w:rFonts w:eastAsia="Calibri"/>
          <w:sz w:val="24"/>
          <w:szCs w:val="24"/>
          <w:lang w:val="ro-MD"/>
        </w:rPr>
        <w:tab/>
        <w:t xml:space="preserve"> </w:t>
      </w:r>
      <w:r w:rsidRPr="00312485">
        <w:rPr>
          <w:rFonts w:eastAsia="Calibri"/>
          <w:sz w:val="24"/>
          <w:szCs w:val="24"/>
          <w:lang w:val="ro-MD"/>
        </w:rPr>
        <w:tab/>
        <w:t>Zone economice libere</w:t>
      </w:r>
    </w:p>
    <w:p w14:paraId="60EBDA4F" w14:textId="77777777" w:rsidR="00787016" w:rsidRPr="00312485" w:rsidRDefault="00787016" w:rsidP="00787016">
      <w:pPr>
        <w:spacing w:after="160" w:line="276" w:lineRule="auto"/>
        <w:ind w:firstLine="567"/>
        <w:jc w:val="left"/>
        <w:rPr>
          <w:rFonts w:eastAsia="Calibri"/>
          <w:sz w:val="24"/>
          <w:szCs w:val="24"/>
          <w:lang w:val="ro-MD"/>
        </w:rPr>
      </w:pPr>
      <w:r w:rsidRPr="00312485">
        <w:rPr>
          <w:rFonts w:eastAsia="Calibri"/>
          <w:bCs/>
          <w:sz w:val="24"/>
          <w:szCs w:val="28"/>
          <w:lang w:val="ro-MD"/>
        </w:rPr>
        <w:t xml:space="preserve">PI </w:t>
      </w:r>
      <w:r w:rsidRPr="00312485">
        <w:rPr>
          <w:rFonts w:eastAsia="Calibri"/>
          <w:bCs/>
          <w:sz w:val="24"/>
          <w:szCs w:val="28"/>
          <w:lang w:val="ro-MD"/>
        </w:rPr>
        <w:tab/>
      </w:r>
      <w:r w:rsidRPr="00312485">
        <w:rPr>
          <w:rFonts w:eastAsia="Calibri"/>
          <w:bCs/>
          <w:sz w:val="24"/>
          <w:szCs w:val="28"/>
          <w:lang w:val="ro-MD"/>
        </w:rPr>
        <w:tab/>
        <w:t>Parcurile industriale</w:t>
      </w:r>
    </w:p>
    <w:p w14:paraId="5322EB9B" w14:textId="77777777" w:rsidR="00787016" w:rsidRPr="00312485" w:rsidRDefault="00787016" w:rsidP="00787016">
      <w:pPr>
        <w:spacing w:after="160" w:line="276" w:lineRule="auto"/>
        <w:ind w:firstLine="567"/>
        <w:jc w:val="left"/>
        <w:rPr>
          <w:rFonts w:eastAsia="Calibri"/>
          <w:sz w:val="28"/>
          <w:szCs w:val="24"/>
          <w:lang w:val="ro-MD"/>
        </w:rPr>
      </w:pPr>
      <w:r w:rsidRPr="00312485">
        <w:rPr>
          <w:rFonts w:eastAsia="Calibri"/>
          <w:sz w:val="24"/>
          <w:szCs w:val="26"/>
          <w:shd w:val="clear" w:color="auto" w:fill="FFFFFF"/>
          <w:lang w:val="ro-MD"/>
        </w:rPr>
        <w:t xml:space="preserve">RPIC </w:t>
      </w:r>
      <w:r w:rsidRPr="00312485">
        <w:rPr>
          <w:rFonts w:eastAsia="Calibri"/>
          <w:sz w:val="24"/>
          <w:szCs w:val="26"/>
          <w:shd w:val="clear" w:color="auto" w:fill="FFFFFF"/>
          <w:lang w:val="ro-MD"/>
        </w:rPr>
        <w:tab/>
      </w:r>
      <w:r w:rsidRPr="00312485">
        <w:rPr>
          <w:rFonts w:eastAsia="Calibri"/>
          <w:sz w:val="24"/>
          <w:szCs w:val="26"/>
          <w:shd w:val="clear" w:color="auto" w:fill="FFFFFF"/>
          <w:lang w:val="ro-MD"/>
        </w:rPr>
        <w:tab/>
        <w:t xml:space="preserve">Sistemul Informațional „Registrul proiectelor de investiții capitale” </w:t>
      </w:r>
    </w:p>
    <w:p w14:paraId="7DB56A27" w14:textId="77777777" w:rsidR="00787016" w:rsidRPr="00312485" w:rsidRDefault="00787016" w:rsidP="00787016">
      <w:pPr>
        <w:tabs>
          <w:tab w:val="left" w:pos="851"/>
        </w:tabs>
        <w:ind w:left="567" w:firstLine="0"/>
        <w:rPr>
          <w:rFonts w:eastAsia="Calibri"/>
          <w:sz w:val="24"/>
          <w:szCs w:val="24"/>
          <w:lang w:val="ro-MD"/>
        </w:rPr>
      </w:pPr>
      <w:r w:rsidRPr="00312485">
        <w:rPr>
          <w:rFonts w:eastAsia="Calibri"/>
          <w:bCs/>
          <w:sz w:val="24"/>
          <w:szCs w:val="24"/>
          <w:lang w:val="ro-MD"/>
        </w:rPr>
        <w:t>BEPS(en)</w:t>
      </w:r>
      <w:r w:rsidRPr="00312485">
        <w:rPr>
          <w:rFonts w:eastAsia="Calibri"/>
          <w:bCs/>
          <w:sz w:val="24"/>
          <w:szCs w:val="24"/>
          <w:lang w:val="ro-MD"/>
        </w:rPr>
        <w:tab/>
        <w:t>B</w:t>
      </w:r>
      <w:r w:rsidRPr="00312485">
        <w:rPr>
          <w:rFonts w:eastAsia="Calibri"/>
          <w:sz w:val="24"/>
          <w:szCs w:val="24"/>
          <w:lang w:val="ro-MD"/>
        </w:rPr>
        <w:t>aza impozabilă și transferul profiturilor</w:t>
      </w:r>
    </w:p>
    <w:p w14:paraId="33B659FF" w14:textId="66A30684" w:rsidR="00787016" w:rsidRDefault="00787016" w:rsidP="00787016">
      <w:pPr>
        <w:tabs>
          <w:tab w:val="left" w:pos="851"/>
        </w:tabs>
        <w:spacing w:before="160"/>
        <w:ind w:left="567" w:firstLine="0"/>
        <w:rPr>
          <w:rFonts w:eastAsia="Calibri"/>
          <w:bCs/>
          <w:color w:val="202122"/>
          <w:sz w:val="24"/>
          <w:szCs w:val="24"/>
          <w:shd w:val="clear" w:color="auto" w:fill="FFFFFF"/>
          <w:lang w:val="ro-MD"/>
        </w:rPr>
      </w:pPr>
      <w:r w:rsidRPr="00312485">
        <w:rPr>
          <w:rFonts w:eastAsia="Calibri"/>
          <w:bCs/>
          <w:sz w:val="24"/>
          <w:szCs w:val="24"/>
          <w:lang w:val="ro-MD"/>
        </w:rPr>
        <w:t xml:space="preserve">OCDE  </w:t>
      </w:r>
      <w:r w:rsidRPr="00312485">
        <w:rPr>
          <w:rFonts w:eastAsia="Calibri"/>
          <w:bCs/>
          <w:sz w:val="24"/>
          <w:szCs w:val="24"/>
          <w:lang w:val="ro-MD"/>
        </w:rPr>
        <w:tab/>
      </w:r>
      <w:r w:rsidRPr="00312485">
        <w:rPr>
          <w:rFonts w:eastAsia="Calibri"/>
          <w:bCs/>
          <w:sz w:val="24"/>
          <w:szCs w:val="24"/>
          <w:lang w:val="ro-MD"/>
        </w:rPr>
        <w:tab/>
      </w:r>
      <w:r w:rsidRPr="00312485">
        <w:rPr>
          <w:rFonts w:eastAsia="Calibri"/>
          <w:bCs/>
          <w:sz w:val="24"/>
          <w:szCs w:val="24"/>
          <w:shd w:val="clear" w:color="auto" w:fill="FFFFFF"/>
          <w:lang w:val="ro-MD"/>
        </w:rPr>
        <w:t xml:space="preserve">Organizația pentru </w:t>
      </w:r>
      <w:r w:rsidRPr="00312485">
        <w:rPr>
          <w:rFonts w:eastAsia="Calibri"/>
          <w:bCs/>
          <w:color w:val="202122"/>
          <w:sz w:val="24"/>
          <w:szCs w:val="24"/>
          <w:shd w:val="clear" w:color="auto" w:fill="FFFFFF"/>
          <w:lang w:val="ro-MD"/>
        </w:rPr>
        <w:t>Cooperare și Dezvoltare Economică</w:t>
      </w:r>
    </w:p>
    <w:p w14:paraId="173DE91F" w14:textId="1B4EC6B8" w:rsidR="00627518" w:rsidRPr="00312485" w:rsidRDefault="00627518" w:rsidP="00787016">
      <w:pPr>
        <w:tabs>
          <w:tab w:val="left" w:pos="851"/>
        </w:tabs>
        <w:spacing w:before="160"/>
        <w:ind w:left="567" w:firstLine="0"/>
        <w:rPr>
          <w:rFonts w:eastAsia="Calibri"/>
          <w:bCs/>
          <w:sz w:val="24"/>
          <w:szCs w:val="24"/>
          <w:lang w:val="ro-MD"/>
        </w:rPr>
      </w:pPr>
      <w:r w:rsidRPr="00312485">
        <w:rPr>
          <w:rFonts w:eastAsia="Calibri"/>
          <w:bCs/>
          <w:sz w:val="24"/>
          <w:szCs w:val="28"/>
          <w:lang w:val="ro-MD"/>
        </w:rPr>
        <w:t xml:space="preserve">AEO </w:t>
      </w:r>
      <w:r>
        <w:rPr>
          <w:rFonts w:eastAsia="Calibri"/>
          <w:bCs/>
          <w:sz w:val="24"/>
          <w:szCs w:val="28"/>
          <w:lang w:val="ro-MD"/>
        </w:rPr>
        <w:tab/>
      </w:r>
      <w:r>
        <w:rPr>
          <w:rFonts w:eastAsia="Calibri"/>
          <w:bCs/>
          <w:sz w:val="24"/>
          <w:szCs w:val="28"/>
          <w:lang w:val="ro-MD"/>
        </w:rPr>
        <w:tab/>
        <w:t>Operatori economici autorizați</w:t>
      </w:r>
    </w:p>
    <w:p w14:paraId="3B154604" w14:textId="557F8974" w:rsidR="00787016" w:rsidRPr="00312485" w:rsidRDefault="00787016" w:rsidP="00266FF7">
      <w:pPr>
        <w:autoSpaceDE w:val="0"/>
        <w:autoSpaceDN w:val="0"/>
        <w:adjustRightInd w:val="0"/>
        <w:ind w:firstLine="0"/>
        <w:rPr>
          <w:sz w:val="24"/>
          <w:szCs w:val="24"/>
          <w:lang w:val="ro-MD" w:eastAsia="ru-RU"/>
        </w:rPr>
      </w:pPr>
    </w:p>
    <w:p w14:paraId="18C9180F" w14:textId="7433F5D7" w:rsidR="005808AD" w:rsidRPr="00312485" w:rsidRDefault="003A5DF9" w:rsidP="003A5DF9">
      <w:pPr>
        <w:autoSpaceDE w:val="0"/>
        <w:autoSpaceDN w:val="0"/>
        <w:adjustRightInd w:val="0"/>
        <w:ind w:firstLine="567"/>
        <w:rPr>
          <w:sz w:val="24"/>
          <w:szCs w:val="24"/>
          <w:lang w:val="ro-MD" w:eastAsia="ru-RU"/>
        </w:rPr>
      </w:pPr>
      <w:r w:rsidRPr="00312485">
        <w:rPr>
          <w:rFonts w:eastAsia="Calibri"/>
          <w:bCs/>
          <w:sz w:val="24"/>
          <w:szCs w:val="28"/>
          <w:lang w:val="ro-MD"/>
        </w:rPr>
        <w:t xml:space="preserve">OLAF </w:t>
      </w:r>
      <w:r>
        <w:rPr>
          <w:rFonts w:eastAsia="Calibri"/>
          <w:bCs/>
          <w:sz w:val="24"/>
          <w:szCs w:val="28"/>
          <w:lang w:val="ro-MD"/>
        </w:rPr>
        <w:tab/>
      </w:r>
      <w:r>
        <w:rPr>
          <w:rFonts w:eastAsia="Calibri"/>
          <w:bCs/>
          <w:sz w:val="24"/>
          <w:szCs w:val="28"/>
          <w:lang w:val="ro-MD"/>
        </w:rPr>
        <w:tab/>
        <w:t>Oficiul European Antifraudă</w:t>
      </w:r>
    </w:p>
    <w:p w14:paraId="1693E3B7" w14:textId="164CC99A" w:rsidR="005808AD" w:rsidRPr="00312485" w:rsidRDefault="005808AD" w:rsidP="00266FF7">
      <w:pPr>
        <w:autoSpaceDE w:val="0"/>
        <w:autoSpaceDN w:val="0"/>
        <w:adjustRightInd w:val="0"/>
        <w:ind w:firstLine="0"/>
        <w:rPr>
          <w:sz w:val="24"/>
          <w:szCs w:val="24"/>
          <w:lang w:val="ro-MD" w:eastAsia="ru-RU"/>
        </w:rPr>
      </w:pPr>
    </w:p>
    <w:p w14:paraId="1ADEC5CA" w14:textId="1C95C15A" w:rsidR="005808AD" w:rsidRPr="00312485" w:rsidRDefault="005808AD" w:rsidP="00266FF7">
      <w:pPr>
        <w:autoSpaceDE w:val="0"/>
        <w:autoSpaceDN w:val="0"/>
        <w:adjustRightInd w:val="0"/>
        <w:ind w:firstLine="0"/>
        <w:rPr>
          <w:sz w:val="24"/>
          <w:szCs w:val="24"/>
          <w:lang w:val="ro-MD" w:eastAsia="ru-RU"/>
        </w:rPr>
      </w:pPr>
    </w:p>
    <w:p w14:paraId="38276C7E" w14:textId="42AD6901" w:rsidR="005808AD" w:rsidRPr="00312485" w:rsidRDefault="005808AD" w:rsidP="00266FF7">
      <w:pPr>
        <w:autoSpaceDE w:val="0"/>
        <w:autoSpaceDN w:val="0"/>
        <w:adjustRightInd w:val="0"/>
        <w:ind w:firstLine="0"/>
        <w:rPr>
          <w:sz w:val="24"/>
          <w:szCs w:val="24"/>
          <w:lang w:val="ro-MD" w:eastAsia="ru-RU"/>
        </w:rPr>
      </w:pPr>
    </w:p>
    <w:p w14:paraId="11A23218" w14:textId="3C4AC0D6" w:rsidR="005808AD" w:rsidRPr="00312485" w:rsidRDefault="005808AD" w:rsidP="00266FF7">
      <w:pPr>
        <w:autoSpaceDE w:val="0"/>
        <w:autoSpaceDN w:val="0"/>
        <w:adjustRightInd w:val="0"/>
        <w:ind w:firstLine="0"/>
        <w:rPr>
          <w:sz w:val="24"/>
          <w:szCs w:val="24"/>
          <w:lang w:val="ro-MD" w:eastAsia="ru-RU"/>
        </w:rPr>
      </w:pPr>
    </w:p>
    <w:p w14:paraId="1AD4B660" w14:textId="4D422CD3" w:rsidR="005808AD" w:rsidRPr="00312485" w:rsidRDefault="005808AD" w:rsidP="00266FF7">
      <w:pPr>
        <w:autoSpaceDE w:val="0"/>
        <w:autoSpaceDN w:val="0"/>
        <w:adjustRightInd w:val="0"/>
        <w:ind w:firstLine="0"/>
        <w:rPr>
          <w:sz w:val="24"/>
          <w:szCs w:val="24"/>
          <w:lang w:val="ro-MD" w:eastAsia="ru-RU"/>
        </w:rPr>
      </w:pPr>
    </w:p>
    <w:p w14:paraId="7EBE783C" w14:textId="1034B621" w:rsidR="005808AD" w:rsidRPr="00312485" w:rsidRDefault="005808AD" w:rsidP="00266FF7">
      <w:pPr>
        <w:autoSpaceDE w:val="0"/>
        <w:autoSpaceDN w:val="0"/>
        <w:adjustRightInd w:val="0"/>
        <w:ind w:firstLine="0"/>
        <w:rPr>
          <w:sz w:val="24"/>
          <w:szCs w:val="24"/>
          <w:lang w:val="ro-MD" w:eastAsia="ru-RU"/>
        </w:rPr>
      </w:pPr>
    </w:p>
    <w:p w14:paraId="513BBBBF" w14:textId="68B457DC" w:rsidR="005808AD" w:rsidRPr="00312485" w:rsidRDefault="005808AD" w:rsidP="00266FF7">
      <w:pPr>
        <w:autoSpaceDE w:val="0"/>
        <w:autoSpaceDN w:val="0"/>
        <w:adjustRightInd w:val="0"/>
        <w:ind w:firstLine="0"/>
        <w:rPr>
          <w:sz w:val="24"/>
          <w:szCs w:val="24"/>
          <w:lang w:val="ro-MD" w:eastAsia="ru-RU"/>
        </w:rPr>
      </w:pPr>
    </w:p>
    <w:p w14:paraId="699B7BAB" w14:textId="11132AA6" w:rsidR="005808AD" w:rsidRPr="00312485" w:rsidRDefault="005808AD" w:rsidP="00266FF7">
      <w:pPr>
        <w:autoSpaceDE w:val="0"/>
        <w:autoSpaceDN w:val="0"/>
        <w:adjustRightInd w:val="0"/>
        <w:ind w:firstLine="0"/>
        <w:rPr>
          <w:sz w:val="24"/>
          <w:szCs w:val="24"/>
          <w:lang w:val="ro-MD" w:eastAsia="ru-RU"/>
        </w:rPr>
      </w:pPr>
    </w:p>
    <w:p w14:paraId="2757EFC8" w14:textId="05E7FBEA" w:rsidR="005808AD" w:rsidRPr="00312485" w:rsidRDefault="005808AD" w:rsidP="00266FF7">
      <w:pPr>
        <w:autoSpaceDE w:val="0"/>
        <w:autoSpaceDN w:val="0"/>
        <w:adjustRightInd w:val="0"/>
        <w:ind w:firstLine="0"/>
        <w:rPr>
          <w:sz w:val="24"/>
          <w:szCs w:val="24"/>
          <w:lang w:val="ro-MD" w:eastAsia="ru-RU"/>
        </w:rPr>
      </w:pPr>
    </w:p>
    <w:p w14:paraId="2FB7E254" w14:textId="52844B2B" w:rsidR="005808AD" w:rsidRPr="00312485" w:rsidRDefault="005808AD" w:rsidP="00266FF7">
      <w:pPr>
        <w:autoSpaceDE w:val="0"/>
        <w:autoSpaceDN w:val="0"/>
        <w:adjustRightInd w:val="0"/>
        <w:ind w:firstLine="0"/>
        <w:rPr>
          <w:sz w:val="24"/>
          <w:szCs w:val="24"/>
          <w:lang w:val="ro-MD" w:eastAsia="ru-RU"/>
        </w:rPr>
      </w:pPr>
    </w:p>
    <w:p w14:paraId="3844A1B0" w14:textId="57879BAB" w:rsidR="005808AD" w:rsidRPr="00312485" w:rsidRDefault="005808AD" w:rsidP="00266FF7">
      <w:pPr>
        <w:autoSpaceDE w:val="0"/>
        <w:autoSpaceDN w:val="0"/>
        <w:adjustRightInd w:val="0"/>
        <w:ind w:firstLine="0"/>
        <w:rPr>
          <w:sz w:val="24"/>
          <w:szCs w:val="24"/>
          <w:lang w:val="ro-MD" w:eastAsia="ru-RU"/>
        </w:rPr>
      </w:pPr>
    </w:p>
    <w:p w14:paraId="086BDF25" w14:textId="6147F196" w:rsidR="005808AD" w:rsidRPr="00312485" w:rsidRDefault="005808AD" w:rsidP="00266FF7">
      <w:pPr>
        <w:autoSpaceDE w:val="0"/>
        <w:autoSpaceDN w:val="0"/>
        <w:adjustRightInd w:val="0"/>
        <w:ind w:firstLine="0"/>
        <w:rPr>
          <w:sz w:val="24"/>
          <w:szCs w:val="24"/>
          <w:lang w:val="ro-MD" w:eastAsia="ru-RU"/>
        </w:rPr>
      </w:pPr>
    </w:p>
    <w:p w14:paraId="200C0380" w14:textId="4AEA55BA" w:rsidR="005808AD" w:rsidRPr="00312485" w:rsidRDefault="005808AD" w:rsidP="00266FF7">
      <w:pPr>
        <w:autoSpaceDE w:val="0"/>
        <w:autoSpaceDN w:val="0"/>
        <w:adjustRightInd w:val="0"/>
        <w:ind w:firstLine="0"/>
        <w:rPr>
          <w:sz w:val="24"/>
          <w:szCs w:val="24"/>
          <w:lang w:val="ro-MD" w:eastAsia="ru-RU"/>
        </w:rPr>
      </w:pPr>
    </w:p>
    <w:p w14:paraId="1AE7AA99" w14:textId="689A98A2" w:rsidR="005808AD" w:rsidRPr="00312485" w:rsidRDefault="005808AD" w:rsidP="00266FF7">
      <w:pPr>
        <w:autoSpaceDE w:val="0"/>
        <w:autoSpaceDN w:val="0"/>
        <w:adjustRightInd w:val="0"/>
        <w:ind w:firstLine="0"/>
        <w:rPr>
          <w:sz w:val="24"/>
          <w:szCs w:val="24"/>
          <w:lang w:val="ro-MD" w:eastAsia="ru-RU"/>
        </w:rPr>
      </w:pPr>
    </w:p>
    <w:p w14:paraId="0DDE643C" w14:textId="47ECBC64" w:rsidR="005808AD" w:rsidRPr="00312485" w:rsidRDefault="005808AD" w:rsidP="00266FF7">
      <w:pPr>
        <w:autoSpaceDE w:val="0"/>
        <w:autoSpaceDN w:val="0"/>
        <w:adjustRightInd w:val="0"/>
        <w:ind w:firstLine="0"/>
        <w:rPr>
          <w:sz w:val="24"/>
          <w:szCs w:val="24"/>
          <w:lang w:val="ro-MD" w:eastAsia="ru-RU"/>
        </w:rPr>
      </w:pPr>
    </w:p>
    <w:p w14:paraId="60041940" w14:textId="07A5CF4E" w:rsidR="005808AD" w:rsidRPr="00312485" w:rsidRDefault="005808AD" w:rsidP="00266FF7">
      <w:pPr>
        <w:autoSpaceDE w:val="0"/>
        <w:autoSpaceDN w:val="0"/>
        <w:adjustRightInd w:val="0"/>
        <w:ind w:firstLine="0"/>
        <w:rPr>
          <w:sz w:val="24"/>
          <w:szCs w:val="24"/>
          <w:lang w:val="ro-MD" w:eastAsia="ru-RU"/>
        </w:rPr>
      </w:pPr>
    </w:p>
    <w:p w14:paraId="387EFAEF" w14:textId="77777777" w:rsidR="005808AD" w:rsidRPr="00604CEE" w:rsidRDefault="005808AD" w:rsidP="005808AD">
      <w:pPr>
        <w:pageBreakBefore/>
        <w:spacing w:after="160"/>
        <w:ind w:right="-330"/>
        <w:jc w:val="right"/>
        <w:rPr>
          <w:rFonts w:eastAsia="Calibri"/>
          <w:sz w:val="24"/>
          <w:szCs w:val="24"/>
          <w:lang w:val="ro-MD"/>
        </w:rPr>
      </w:pPr>
      <w:r w:rsidRPr="00604CEE">
        <w:rPr>
          <w:rFonts w:eastAsia="Calibri"/>
          <w:sz w:val="24"/>
          <w:szCs w:val="24"/>
          <w:lang w:val="ro-MD"/>
        </w:rPr>
        <w:lastRenderedPageBreak/>
        <w:t>Anexa nr. 1</w:t>
      </w:r>
    </w:p>
    <w:p w14:paraId="44E0E1DB" w14:textId="77777777" w:rsidR="00316D0C" w:rsidRDefault="00316D0C" w:rsidP="005808AD">
      <w:pPr>
        <w:ind w:firstLine="0"/>
        <w:jc w:val="center"/>
        <w:rPr>
          <w:b/>
          <w:bCs/>
          <w:sz w:val="24"/>
          <w:szCs w:val="24"/>
          <w:lang w:val="ro-MD" w:eastAsia="ru-RU"/>
        </w:rPr>
      </w:pPr>
    </w:p>
    <w:p w14:paraId="557F757D" w14:textId="49CFD310" w:rsidR="005808AD" w:rsidRPr="00312485" w:rsidRDefault="005808AD" w:rsidP="005808AD">
      <w:pPr>
        <w:ind w:firstLine="0"/>
        <w:jc w:val="center"/>
        <w:rPr>
          <w:b/>
          <w:bCs/>
          <w:sz w:val="24"/>
          <w:szCs w:val="24"/>
          <w:lang w:val="ro-MD" w:eastAsia="ru-RU"/>
        </w:rPr>
      </w:pPr>
      <w:r w:rsidRPr="00312485">
        <w:rPr>
          <w:b/>
          <w:bCs/>
          <w:sz w:val="24"/>
          <w:szCs w:val="24"/>
          <w:lang w:val="ro-MD" w:eastAsia="ru-RU"/>
        </w:rPr>
        <w:t>Prognoza</w:t>
      </w:r>
      <w:r w:rsidR="008A57E3">
        <w:rPr>
          <w:b/>
          <w:bCs/>
          <w:sz w:val="24"/>
          <w:szCs w:val="24"/>
          <w:lang w:val="ro-MD" w:eastAsia="ru-RU"/>
        </w:rPr>
        <w:t>*</w:t>
      </w:r>
      <w:r w:rsidRPr="00312485">
        <w:rPr>
          <w:b/>
          <w:bCs/>
          <w:sz w:val="24"/>
          <w:szCs w:val="24"/>
          <w:lang w:val="ro-MD" w:eastAsia="ru-RU"/>
        </w:rPr>
        <w:t xml:space="preserve"> indicatorilor macroeconomici</w:t>
      </w:r>
      <w:r w:rsidR="00316D0C">
        <w:rPr>
          <w:b/>
          <w:bCs/>
          <w:sz w:val="24"/>
          <w:szCs w:val="24"/>
          <w:lang w:val="ro-MD" w:eastAsia="ru-RU"/>
        </w:rPr>
        <w:t xml:space="preserve"> </w:t>
      </w:r>
      <w:r w:rsidRPr="00312485">
        <w:rPr>
          <w:b/>
          <w:bCs/>
          <w:sz w:val="24"/>
          <w:szCs w:val="24"/>
          <w:lang w:val="ro-MD" w:eastAsia="ru-RU"/>
        </w:rPr>
        <w:t>pentru anii 2025-2028</w:t>
      </w:r>
    </w:p>
    <w:p w14:paraId="15CB24CA" w14:textId="77777777" w:rsidR="005808AD" w:rsidRPr="00312485" w:rsidRDefault="005808AD" w:rsidP="005808AD">
      <w:pPr>
        <w:spacing w:after="160"/>
        <w:ind w:firstLine="0"/>
        <w:jc w:val="left"/>
        <w:rPr>
          <w:rFonts w:ascii="Calibri" w:eastAsia="Calibri" w:hAnsi="Calibri"/>
          <w:b/>
          <w:sz w:val="22"/>
          <w:szCs w:val="22"/>
          <w:lang w:val="ro-MD"/>
        </w:rPr>
      </w:pPr>
    </w:p>
    <w:tbl>
      <w:tblPr>
        <w:tblW w:w="10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252"/>
        <w:gridCol w:w="812"/>
        <w:gridCol w:w="946"/>
        <w:gridCol w:w="845"/>
        <w:gridCol w:w="947"/>
        <w:gridCol w:w="811"/>
        <w:gridCol w:w="812"/>
        <w:gridCol w:w="811"/>
      </w:tblGrid>
      <w:tr w:rsidR="005808AD" w:rsidRPr="00312485" w14:paraId="4143EE8E" w14:textId="77777777" w:rsidTr="00320BF9">
        <w:trPr>
          <w:trHeight w:val="283"/>
          <w:tblHeader/>
          <w:jc w:val="center"/>
        </w:trPr>
        <w:tc>
          <w:tcPr>
            <w:tcW w:w="2803" w:type="dxa"/>
            <w:vMerge w:val="restart"/>
            <w:tcBorders>
              <w:top w:val="single" w:sz="4" w:space="0" w:color="auto"/>
              <w:left w:val="single" w:sz="4" w:space="0" w:color="auto"/>
              <w:bottom w:val="single" w:sz="4" w:space="0" w:color="auto"/>
              <w:right w:val="single" w:sz="4" w:space="0" w:color="auto"/>
            </w:tcBorders>
            <w:vAlign w:val="center"/>
            <w:hideMark/>
          </w:tcPr>
          <w:p w14:paraId="2D4F0DD6" w14:textId="77777777" w:rsidR="005808AD" w:rsidRPr="00312485" w:rsidRDefault="005808AD" w:rsidP="005808AD">
            <w:pPr>
              <w:ind w:left="395" w:firstLine="0"/>
              <w:jc w:val="center"/>
              <w:rPr>
                <w:b/>
                <w:bCs/>
                <w:sz w:val="21"/>
                <w:szCs w:val="21"/>
                <w:lang w:val="ro-MD" w:eastAsia="ru-RU"/>
              </w:rPr>
            </w:pPr>
            <w:r w:rsidRPr="00312485">
              <w:rPr>
                <w:b/>
                <w:bCs/>
                <w:sz w:val="21"/>
                <w:szCs w:val="21"/>
                <w:lang w:val="ro-MD" w:eastAsia="ru-RU"/>
              </w:rPr>
              <w:t>Indicatori</w:t>
            </w:r>
          </w:p>
        </w:tc>
        <w:tc>
          <w:tcPr>
            <w:tcW w:w="1252" w:type="dxa"/>
            <w:vMerge w:val="restart"/>
            <w:tcBorders>
              <w:top w:val="single" w:sz="4" w:space="0" w:color="auto"/>
              <w:left w:val="single" w:sz="4" w:space="0" w:color="auto"/>
              <w:bottom w:val="single" w:sz="4" w:space="0" w:color="auto"/>
              <w:right w:val="single" w:sz="4" w:space="0" w:color="auto"/>
            </w:tcBorders>
            <w:vAlign w:val="center"/>
            <w:hideMark/>
          </w:tcPr>
          <w:p w14:paraId="4CD283E9" w14:textId="77777777" w:rsidR="005808AD" w:rsidRPr="00312485" w:rsidRDefault="005808AD" w:rsidP="005808AD">
            <w:pPr>
              <w:ind w:firstLine="0"/>
              <w:jc w:val="center"/>
              <w:rPr>
                <w:b/>
                <w:sz w:val="21"/>
                <w:szCs w:val="21"/>
                <w:lang w:val="ro-MD" w:eastAsia="ru-RU"/>
              </w:rPr>
            </w:pPr>
            <w:r w:rsidRPr="00312485">
              <w:rPr>
                <w:b/>
                <w:bCs/>
                <w:sz w:val="21"/>
                <w:szCs w:val="21"/>
                <w:lang w:val="ro-MD" w:eastAsia="ru-RU"/>
              </w:rPr>
              <w:t>Unitatea de măsură</w:t>
            </w:r>
          </w:p>
        </w:tc>
        <w:tc>
          <w:tcPr>
            <w:tcW w:w="812" w:type="dxa"/>
            <w:tcBorders>
              <w:top w:val="single" w:sz="4" w:space="0" w:color="auto"/>
              <w:left w:val="single" w:sz="4" w:space="0" w:color="auto"/>
              <w:bottom w:val="single" w:sz="4" w:space="0" w:color="auto"/>
              <w:right w:val="single" w:sz="4" w:space="0" w:color="auto"/>
            </w:tcBorders>
            <w:vAlign w:val="center"/>
            <w:hideMark/>
          </w:tcPr>
          <w:p w14:paraId="431B7230"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2022</w:t>
            </w:r>
          </w:p>
        </w:tc>
        <w:tc>
          <w:tcPr>
            <w:tcW w:w="946" w:type="dxa"/>
            <w:tcBorders>
              <w:top w:val="single" w:sz="4" w:space="0" w:color="auto"/>
              <w:left w:val="single" w:sz="4" w:space="0" w:color="auto"/>
              <w:bottom w:val="single" w:sz="4" w:space="0" w:color="auto"/>
              <w:right w:val="single" w:sz="4" w:space="0" w:color="auto"/>
            </w:tcBorders>
            <w:vAlign w:val="center"/>
            <w:hideMark/>
          </w:tcPr>
          <w:p w14:paraId="0EF86E89"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2023</w:t>
            </w:r>
          </w:p>
        </w:tc>
        <w:tc>
          <w:tcPr>
            <w:tcW w:w="845" w:type="dxa"/>
            <w:tcBorders>
              <w:top w:val="single" w:sz="4" w:space="0" w:color="auto"/>
              <w:left w:val="single" w:sz="4" w:space="0" w:color="auto"/>
              <w:bottom w:val="single" w:sz="4" w:space="0" w:color="auto"/>
              <w:right w:val="single" w:sz="12" w:space="0" w:color="auto"/>
            </w:tcBorders>
            <w:vAlign w:val="center"/>
            <w:hideMark/>
          </w:tcPr>
          <w:p w14:paraId="6BB5421A"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2024</w:t>
            </w:r>
          </w:p>
        </w:tc>
        <w:tc>
          <w:tcPr>
            <w:tcW w:w="947" w:type="dxa"/>
            <w:tcBorders>
              <w:top w:val="single" w:sz="4" w:space="0" w:color="auto"/>
              <w:left w:val="single" w:sz="12" w:space="0" w:color="auto"/>
              <w:bottom w:val="single" w:sz="4" w:space="0" w:color="auto"/>
              <w:right w:val="single" w:sz="4" w:space="0" w:color="auto"/>
            </w:tcBorders>
            <w:vAlign w:val="center"/>
            <w:hideMark/>
          </w:tcPr>
          <w:p w14:paraId="23B5D276"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2025</w:t>
            </w:r>
          </w:p>
        </w:tc>
        <w:tc>
          <w:tcPr>
            <w:tcW w:w="811" w:type="dxa"/>
            <w:tcBorders>
              <w:top w:val="single" w:sz="4" w:space="0" w:color="auto"/>
              <w:left w:val="single" w:sz="4" w:space="0" w:color="auto"/>
              <w:bottom w:val="single" w:sz="4" w:space="0" w:color="auto"/>
              <w:right w:val="single" w:sz="4" w:space="0" w:color="auto"/>
            </w:tcBorders>
            <w:vAlign w:val="center"/>
            <w:hideMark/>
          </w:tcPr>
          <w:p w14:paraId="1157CBD1"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2026</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7032C752"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2027</w:t>
            </w:r>
          </w:p>
        </w:tc>
        <w:tc>
          <w:tcPr>
            <w:tcW w:w="811" w:type="dxa"/>
            <w:tcBorders>
              <w:top w:val="single" w:sz="4" w:space="0" w:color="auto"/>
              <w:left w:val="single" w:sz="4" w:space="0" w:color="auto"/>
              <w:bottom w:val="single" w:sz="4" w:space="0" w:color="auto"/>
              <w:right w:val="single" w:sz="4" w:space="0" w:color="auto"/>
            </w:tcBorders>
            <w:vAlign w:val="center"/>
            <w:hideMark/>
          </w:tcPr>
          <w:p w14:paraId="6715900B"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2028</w:t>
            </w:r>
          </w:p>
        </w:tc>
      </w:tr>
      <w:tr w:rsidR="005808AD" w:rsidRPr="00312485" w14:paraId="23056D82" w14:textId="77777777" w:rsidTr="00320BF9">
        <w:trPr>
          <w:trHeight w:val="493"/>
          <w:tblHeader/>
          <w:jc w:val="center"/>
        </w:trPr>
        <w:tc>
          <w:tcPr>
            <w:tcW w:w="2803" w:type="dxa"/>
            <w:vMerge/>
            <w:tcBorders>
              <w:top w:val="single" w:sz="4" w:space="0" w:color="auto"/>
              <w:left w:val="single" w:sz="4" w:space="0" w:color="auto"/>
              <w:bottom w:val="single" w:sz="4" w:space="0" w:color="auto"/>
              <w:right w:val="single" w:sz="4" w:space="0" w:color="auto"/>
            </w:tcBorders>
            <w:vAlign w:val="center"/>
            <w:hideMark/>
          </w:tcPr>
          <w:p w14:paraId="6623A163" w14:textId="77777777" w:rsidR="005808AD" w:rsidRPr="00312485" w:rsidRDefault="005808AD" w:rsidP="005808AD">
            <w:pPr>
              <w:ind w:firstLine="0"/>
              <w:jc w:val="left"/>
              <w:rPr>
                <w:b/>
                <w:bCs/>
                <w:sz w:val="21"/>
                <w:szCs w:val="21"/>
                <w:lang w:val="ro-MD" w:eastAsia="ru-RU"/>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14:paraId="7FF35111" w14:textId="77777777" w:rsidR="005808AD" w:rsidRPr="00312485" w:rsidRDefault="005808AD" w:rsidP="005808AD">
            <w:pPr>
              <w:ind w:firstLine="0"/>
              <w:jc w:val="left"/>
              <w:rPr>
                <w:b/>
                <w:sz w:val="21"/>
                <w:szCs w:val="21"/>
                <w:lang w:val="ro-MD" w:eastAsia="ru-RU"/>
              </w:rPr>
            </w:pPr>
          </w:p>
        </w:tc>
        <w:tc>
          <w:tcPr>
            <w:tcW w:w="2603" w:type="dxa"/>
            <w:gridSpan w:val="3"/>
            <w:tcBorders>
              <w:top w:val="single" w:sz="4" w:space="0" w:color="auto"/>
              <w:left w:val="single" w:sz="4" w:space="0" w:color="auto"/>
              <w:bottom w:val="single" w:sz="4" w:space="0" w:color="auto"/>
              <w:right w:val="single" w:sz="12" w:space="0" w:color="auto"/>
            </w:tcBorders>
            <w:vAlign w:val="center"/>
            <w:hideMark/>
          </w:tcPr>
          <w:p w14:paraId="3479EDEA"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Efectiv</w:t>
            </w:r>
          </w:p>
        </w:tc>
        <w:tc>
          <w:tcPr>
            <w:tcW w:w="3381" w:type="dxa"/>
            <w:gridSpan w:val="4"/>
            <w:tcBorders>
              <w:top w:val="single" w:sz="4" w:space="0" w:color="auto"/>
              <w:left w:val="single" w:sz="12" w:space="0" w:color="auto"/>
              <w:bottom w:val="single" w:sz="4" w:space="0" w:color="auto"/>
              <w:right w:val="single" w:sz="4" w:space="0" w:color="auto"/>
            </w:tcBorders>
            <w:vAlign w:val="center"/>
            <w:hideMark/>
          </w:tcPr>
          <w:p w14:paraId="44A903D9" w14:textId="77777777" w:rsidR="005808AD" w:rsidRPr="00312485" w:rsidRDefault="005808AD" w:rsidP="005808AD">
            <w:pPr>
              <w:ind w:firstLine="0"/>
              <w:jc w:val="center"/>
              <w:rPr>
                <w:b/>
                <w:bCs/>
                <w:sz w:val="21"/>
                <w:szCs w:val="21"/>
                <w:lang w:val="ro-MD" w:eastAsia="ru-RU"/>
              </w:rPr>
            </w:pPr>
            <w:r w:rsidRPr="00312485">
              <w:rPr>
                <w:b/>
                <w:bCs/>
                <w:sz w:val="21"/>
                <w:szCs w:val="21"/>
                <w:lang w:val="ro-MD" w:eastAsia="ru-RU"/>
              </w:rPr>
              <w:t>Prognoză</w:t>
            </w:r>
          </w:p>
        </w:tc>
      </w:tr>
      <w:tr w:rsidR="005808AD" w:rsidRPr="00312485" w14:paraId="1AA2729B" w14:textId="77777777" w:rsidTr="005808AD">
        <w:trPr>
          <w:trHeight w:val="28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246C741" w14:textId="77777777" w:rsidR="005808AD" w:rsidRPr="00312485" w:rsidRDefault="005808AD" w:rsidP="005808AD">
            <w:pPr>
              <w:ind w:firstLine="0"/>
              <w:rPr>
                <w:b/>
                <w:bCs/>
                <w:sz w:val="21"/>
                <w:szCs w:val="21"/>
                <w:lang w:val="ro-MD" w:eastAsia="ru-RU"/>
              </w:rPr>
            </w:pPr>
            <w:r w:rsidRPr="00312485">
              <w:rPr>
                <w:b/>
                <w:bCs/>
                <w:sz w:val="21"/>
                <w:szCs w:val="21"/>
                <w:lang w:val="ro-MD" w:eastAsia="ru-RU"/>
              </w:rPr>
              <w:t xml:space="preserve">Produsul intern brut </w:t>
            </w:r>
            <w:r w:rsidRPr="00312485">
              <w:rPr>
                <w:b/>
                <w:sz w:val="21"/>
                <w:szCs w:val="21"/>
                <w:lang w:val="ro-MD" w:eastAsia="ru-RU"/>
              </w:rPr>
              <w:t>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1056D6D7"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mild</w:t>
            </w:r>
            <w:proofErr w:type="spellEnd"/>
            <w:r w:rsidRPr="00521788">
              <w:rPr>
                <w:sz w:val="21"/>
                <w:szCs w:val="21"/>
                <w:lang w:val="ro-MD" w:eastAsia="ru-RU"/>
              </w:rPr>
              <w:t>. lei</w:t>
            </w:r>
          </w:p>
        </w:tc>
        <w:tc>
          <w:tcPr>
            <w:tcW w:w="812" w:type="dxa"/>
            <w:tcBorders>
              <w:top w:val="nil"/>
              <w:left w:val="nil"/>
              <w:bottom w:val="single" w:sz="4" w:space="0" w:color="auto"/>
              <w:right w:val="single" w:sz="4" w:space="0" w:color="auto"/>
            </w:tcBorders>
            <w:shd w:val="clear" w:color="000000" w:fill="FFFFFF"/>
            <w:vAlign w:val="bottom"/>
            <w:hideMark/>
          </w:tcPr>
          <w:p w14:paraId="6E7CC1DB" w14:textId="77777777" w:rsidR="005808AD" w:rsidRPr="00312485" w:rsidRDefault="005808AD" w:rsidP="005808AD">
            <w:pPr>
              <w:ind w:firstLine="0"/>
              <w:jc w:val="center"/>
              <w:rPr>
                <w:b/>
                <w:sz w:val="21"/>
                <w:szCs w:val="21"/>
                <w:lang w:val="ro-MD" w:eastAsia="ru-RU"/>
              </w:rPr>
            </w:pPr>
            <w:r w:rsidRPr="00312485">
              <w:rPr>
                <w:sz w:val="21"/>
                <w:szCs w:val="21"/>
                <w:lang w:val="ro-MD"/>
              </w:rPr>
              <w:t>274.5</w:t>
            </w:r>
          </w:p>
        </w:tc>
        <w:tc>
          <w:tcPr>
            <w:tcW w:w="946" w:type="dxa"/>
            <w:tcBorders>
              <w:top w:val="nil"/>
              <w:left w:val="nil"/>
              <w:bottom w:val="single" w:sz="4" w:space="0" w:color="auto"/>
              <w:right w:val="single" w:sz="4" w:space="0" w:color="auto"/>
            </w:tcBorders>
            <w:shd w:val="clear" w:color="auto" w:fill="auto"/>
            <w:vAlign w:val="bottom"/>
            <w:hideMark/>
          </w:tcPr>
          <w:p w14:paraId="4325E0E6" w14:textId="77777777" w:rsidR="005808AD" w:rsidRPr="00312485" w:rsidRDefault="005808AD" w:rsidP="005808AD">
            <w:pPr>
              <w:ind w:firstLine="0"/>
              <w:jc w:val="center"/>
              <w:rPr>
                <w:b/>
                <w:sz w:val="21"/>
                <w:szCs w:val="21"/>
                <w:lang w:val="ro-MD" w:eastAsia="ru-RU"/>
              </w:rPr>
            </w:pPr>
            <w:r w:rsidRPr="00312485">
              <w:rPr>
                <w:sz w:val="21"/>
                <w:szCs w:val="21"/>
                <w:lang w:val="ro-MD"/>
              </w:rPr>
              <w:t>303.6</w:t>
            </w:r>
          </w:p>
        </w:tc>
        <w:tc>
          <w:tcPr>
            <w:tcW w:w="845" w:type="dxa"/>
            <w:tcBorders>
              <w:top w:val="nil"/>
              <w:left w:val="nil"/>
              <w:bottom w:val="single" w:sz="4" w:space="0" w:color="auto"/>
              <w:right w:val="single" w:sz="12" w:space="0" w:color="auto"/>
            </w:tcBorders>
            <w:shd w:val="clear" w:color="auto" w:fill="auto"/>
            <w:vAlign w:val="bottom"/>
            <w:hideMark/>
          </w:tcPr>
          <w:p w14:paraId="1F31B897" w14:textId="77777777" w:rsidR="005808AD" w:rsidRPr="00312485" w:rsidRDefault="005808AD" w:rsidP="005808AD">
            <w:pPr>
              <w:ind w:firstLine="0"/>
              <w:jc w:val="center"/>
              <w:rPr>
                <w:b/>
                <w:sz w:val="21"/>
                <w:szCs w:val="21"/>
                <w:lang w:val="ro-MD" w:eastAsia="ru-RU"/>
              </w:rPr>
            </w:pPr>
            <w:r w:rsidRPr="00312485">
              <w:rPr>
                <w:sz w:val="21"/>
                <w:szCs w:val="21"/>
                <w:lang w:val="ro-MD"/>
              </w:rPr>
              <w:t>323.8</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518334F2" w14:textId="77777777" w:rsidR="005808AD" w:rsidRPr="00312485" w:rsidRDefault="005808AD" w:rsidP="005808AD">
            <w:pPr>
              <w:ind w:firstLine="0"/>
              <w:jc w:val="center"/>
              <w:rPr>
                <w:b/>
                <w:sz w:val="21"/>
                <w:szCs w:val="21"/>
                <w:lang w:val="ro-MD" w:eastAsia="ru-RU"/>
              </w:rPr>
            </w:pPr>
            <w:r w:rsidRPr="00312485">
              <w:rPr>
                <w:sz w:val="21"/>
                <w:szCs w:val="21"/>
                <w:lang w:val="ro-MD"/>
              </w:rPr>
              <w:t>351.1</w:t>
            </w:r>
          </w:p>
        </w:tc>
        <w:tc>
          <w:tcPr>
            <w:tcW w:w="811" w:type="dxa"/>
            <w:tcBorders>
              <w:top w:val="nil"/>
              <w:left w:val="nil"/>
              <w:bottom w:val="single" w:sz="4" w:space="0" w:color="auto"/>
              <w:right w:val="single" w:sz="4" w:space="0" w:color="auto"/>
            </w:tcBorders>
            <w:shd w:val="clear" w:color="auto" w:fill="FFFFFF"/>
            <w:vAlign w:val="bottom"/>
            <w:hideMark/>
          </w:tcPr>
          <w:p w14:paraId="31931BAE" w14:textId="77777777" w:rsidR="005808AD" w:rsidRPr="00312485" w:rsidRDefault="005808AD" w:rsidP="005808AD">
            <w:pPr>
              <w:ind w:firstLine="0"/>
              <w:jc w:val="center"/>
              <w:rPr>
                <w:b/>
                <w:sz w:val="21"/>
                <w:szCs w:val="21"/>
                <w:lang w:val="ro-MD" w:eastAsia="ru-RU"/>
              </w:rPr>
            </w:pPr>
            <w:r w:rsidRPr="00312485">
              <w:rPr>
                <w:sz w:val="21"/>
                <w:szCs w:val="21"/>
                <w:lang w:val="ro-MD"/>
              </w:rPr>
              <w:t>380.3</w:t>
            </w:r>
          </w:p>
        </w:tc>
        <w:tc>
          <w:tcPr>
            <w:tcW w:w="812" w:type="dxa"/>
            <w:tcBorders>
              <w:top w:val="nil"/>
              <w:left w:val="nil"/>
              <w:bottom w:val="single" w:sz="4" w:space="0" w:color="auto"/>
              <w:right w:val="single" w:sz="4" w:space="0" w:color="auto"/>
            </w:tcBorders>
            <w:shd w:val="clear" w:color="auto" w:fill="FFFFFF"/>
            <w:noWrap/>
            <w:vAlign w:val="bottom"/>
            <w:hideMark/>
          </w:tcPr>
          <w:p w14:paraId="7399AE09" w14:textId="77777777" w:rsidR="005808AD" w:rsidRPr="00312485" w:rsidRDefault="005808AD" w:rsidP="005808AD">
            <w:pPr>
              <w:ind w:firstLine="0"/>
              <w:jc w:val="center"/>
              <w:rPr>
                <w:b/>
                <w:sz w:val="21"/>
                <w:szCs w:val="21"/>
                <w:lang w:val="ro-MD" w:eastAsia="ru-RU"/>
              </w:rPr>
            </w:pPr>
            <w:r w:rsidRPr="00312485">
              <w:rPr>
                <w:sz w:val="21"/>
                <w:szCs w:val="21"/>
                <w:lang w:val="ro-MD"/>
              </w:rPr>
              <w:t>411.7</w:t>
            </w:r>
          </w:p>
        </w:tc>
        <w:tc>
          <w:tcPr>
            <w:tcW w:w="811" w:type="dxa"/>
            <w:tcBorders>
              <w:top w:val="nil"/>
              <w:left w:val="nil"/>
              <w:bottom w:val="single" w:sz="4" w:space="0" w:color="auto"/>
              <w:right w:val="single" w:sz="4" w:space="0" w:color="auto"/>
            </w:tcBorders>
            <w:shd w:val="clear" w:color="auto" w:fill="FFFFFF"/>
            <w:vAlign w:val="bottom"/>
            <w:hideMark/>
          </w:tcPr>
          <w:p w14:paraId="69B68894" w14:textId="77777777" w:rsidR="005808AD" w:rsidRPr="00312485" w:rsidRDefault="005808AD" w:rsidP="005808AD">
            <w:pPr>
              <w:ind w:firstLine="0"/>
              <w:jc w:val="center"/>
              <w:rPr>
                <w:b/>
                <w:sz w:val="21"/>
                <w:szCs w:val="21"/>
                <w:lang w:val="ro-MD" w:eastAsia="ru-RU"/>
              </w:rPr>
            </w:pPr>
            <w:r w:rsidRPr="00312485">
              <w:rPr>
                <w:sz w:val="21"/>
                <w:szCs w:val="21"/>
                <w:lang w:val="ro-MD"/>
              </w:rPr>
              <w:t>440.7</w:t>
            </w:r>
          </w:p>
        </w:tc>
      </w:tr>
      <w:tr w:rsidR="005808AD" w:rsidRPr="00312485" w14:paraId="2A411AA8" w14:textId="77777777" w:rsidTr="005808AD">
        <w:trPr>
          <w:trHeight w:val="9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651359CE"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2692833"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073809BE" w14:textId="77777777" w:rsidR="005808AD" w:rsidRPr="00312485" w:rsidRDefault="005808AD" w:rsidP="005808AD">
            <w:pPr>
              <w:ind w:firstLine="0"/>
              <w:jc w:val="center"/>
              <w:rPr>
                <w:b/>
                <w:sz w:val="21"/>
                <w:szCs w:val="21"/>
                <w:lang w:val="ro-MD" w:eastAsia="ru-RU"/>
              </w:rPr>
            </w:pPr>
            <w:r w:rsidRPr="00312485">
              <w:rPr>
                <w:sz w:val="21"/>
                <w:szCs w:val="21"/>
                <w:lang w:val="ro-MD"/>
              </w:rPr>
              <w:t>95.4</w:t>
            </w:r>
          </w:p>
        </w:tc>
        <w:tc>
          <w:tcPr>
            <w:tcW w:w="946" w:type="dxa"/>
            <w:tcBorders>
              <w:top w:val="nil"/>
              <w:left w:val="nil"/>
              <w:bottom w:val="single" w:sz="4" w:space="0" w:color="auto"/>
              <w:right w:val="single" w:sz="4" w:space="0" w:color="auto"/>
            </w:tcBorders>
            <w:shd w:val="clear" w:color="auto" w:fill="auto"/>
            <w:vAlign w:val="bottom"/>
            <w:hideMark/>
          </w:tcPr>
          <w:p w14:paraId="0BDA7001" w14:textId="77777777" w:rsidR="005808AD" w:rsidRPr="00312485" w:rsidRDefault="005808AD" w:rsidP="005808AD">
            <w:pPr>
              <w:ind w:firstLine="0"/>
              <w:jc w:val="center"/>
              <w:rPr>
                <w:b/>
                <w:sz w:val="21"/>
                <w:szCs w:val="21"/>
                <w:lang w:val="ro-MD" w:eastAsia="ru-RU"/>
              </w:rPr>
            </w:pPr>
            <w:r w:rsidRPr="00312485">
              <w:rPr>
                <w:sz w:val="21"/>
                <w:szCs w:val="21"/>
                <w:lang w:val="ro-MD"/>
              </w:rPr>
              <w:t>101.2</w:t>
            </w:r>
          </w:p>
        </w:tc>
        <w:tc>
          <w:tcPr>
            <w:tcW w:w="845" w:type="dxa"/>
            <w:tcBorders>
              <w:top w:val="nil"/>
              <w:left w:val="nil"/>
              <w:bottom w:val="single" w:sz="4" w:space="0" w:color="auto"/>
              <w:right w:val="single" w:sz="12" w:space="0" w:color="auto"/>
            </w:tcBorders>
            <w:shd w:val="clear" w:color="auto" w:fill="auto"/>
            <w:vAlign w:val="bottom"/>
            <w:hideMark/>
          </w:tcPr>
          <w:p w14:paraId="56078FC2" w14:textId="77777777" w:rsidR="005808AD" w:rsidRPr="00312485" w:rsidRDefault="005808AD" w:rsidP="005808AD">
            <w:pPr>
              <w:ind w:firstLine="0"/>
              <w:jc w:val="center"/>
              <w:rPr>
                <w:b/>
                <w:sz w:val="21"/>
                <w:szCs w:val="21"/>
                <w:lang w:val="ro-MD" w:eastAsia="ru-RU"/>
              </w:rPr>
            </w:pPr>
            <w:r w:rsidRPr="00312485">
              <w:rPr>
                <w:sz w:val="21"/>
                <w:szCs w:val="21"/>
                <w:lang w:val="ro-MD"/>
              </w:rPr>
              <w:t>100.1</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7B22E48F" w14:textId="77777777" w:rsidR="005808AD" w:rsidRPr="00312485" w:rsidRDefault="005808AD" w:rsidP="005808AD">
            <w:pPr>
              <w:ind w:firstLine="0"/>
              <w:jc w:val="center"/>
              <w:rPr>
                <w:b/>
                <w:sz w:val="21"/>
                <w:szCs w:val="21"/>
                <w:lang w:val="ro-MD" w:eastAsia="ru-RU"/>
              </w:rPr>
            </w:pPr>
            <w:r w:rsidRPr="00312485">
              <w:rPr>
                <w:sz w:val="21"/>
                <w:szCs w:val="21"/>
                <w:lang w:val="ro-MD"/>
              </w:rPr>
              <w:t>102.0</w:t>
            </w:r>
          </w:p>
        </w:tc>
        <w:tc>
          <w:tcPr>
            <w:tcW w:w="811" w:type="dxa"/>
            <w:tcBorders>
              <w:top w:val="nil"/>
              <w:left w:val="nil"/>
              <w:bottom w:val="single" w:sz="4" w:space="0" w:color="auto"/>
              <w:right w:val="single" w:sz="4" w:space="0" w:color="auto"/>
            </w:tcBorders>
            <w:shd w:val="clear" w:color="auto" w:fill="FFFFFF"/>
            <w:vAlign w:val="bottom"/>
            <w:hideMark/>
          </w:tcPr>
          <w:p w14:paraId="04A72F0C" w14:textId="77777777" w:rsidR="005808AD" w:rsidRPr="00312485" w:rsidRDefault="005808AD" w:rsidP="005808AD">
            <w:pPr>
              <w:ind w:firstLine="0"/>
              <w:jc w:val="center"/>
              <w:rPr>
                <w:b/>
                <w:sz w:val="21"/>
                <w:szCs w:val="21"/>
                <w:lang w:val="ro-MD" w:eastAsia="ru-RU"/>
              </w:rPr>
            </w:pPr>
            <w:r w:rsidRPr="00312485">
              <w:rPr>
                <w:sz w:val="21"/>
                <w:szCs w:val="21"/>
                <w:lang w:val="ro-MD"/>
              </w:rPr>
              <w:t>102.4</w:t>
            </w:r>
          </w:p>
        </w:tc>
        <w:tc>
          <w:tcPr>
            <w:tcW w:w="812" w:type="dxa"/>
            <w:tcBorders>
              <w:top w:val="nil"/>
              <w:left w:val="nil"/>
              <w:bottom w:val="single" w:sz="4" w:space="0" w:color="auto"/>
              <w:right w:val="single" w:sz="4" w:space="0" w:color="auto"/>
            </w:tcBorders>
            <w:shd w:val="clear" w:color="auto" w:fill="FFFFFF"/>
            <w:noWrap/>
            <w:vAlign w:val="bottom"/>
            <w:hideMark/>
          </w:tcPr>
          <w:p w14:paraId="1CC4A4D2" w14:textId="77777777" w:rsidR="005808AD" w:rsidRPr="00312485" w:rsidRDefault="005808AD" w:rsidP="005808AD">
            <w:pPr>
              <w:ind w:firstLine="0"/>
              <w:jc w:val="center"/>
              <w:rPr>
                <w:b/>
                <w:sz w:val="21"/>
                <w:szCs w:val="21"/>
                <w:lang w:val="ro-MD" w:eastAsia="ru-RU"/>
              </w:rPr>
            </w:pPr>
            <w:r w:rsidRPr="00312485">
              <w:rPr>
                <w:sz w:val="21"/>
                <w:szCs w:val="21"/>
                <w:lang w:val="ro-MD"/>
              </w:rPr>
              <w:t>102.8</w:t>
            </w:r>
          </w:p>
        </w:tc>
        <w:tc>
          <w:tcPr>
            <w:tcW w:w="811" w:type="dxa"/>
            <w:tcBorders>
              <w:top w:val="nil"/>
              <w:left w:val="nil"/>
              <w:bottom w:val="single" w:sz="4" w:space="0" w:color="auto"/>
              <w:right w:val="single" w:sz="4" w:space="0" w:color="auto"/>
            </w:tcBorders>
            <w:shd w:val="clear" w:color="auto" w:fill="FFFFFF"/>
            <w:vAlign w:val="bottom"/>
            <w:hideMark/>
          </w:tcPr>
          <w:p w14:paraId="3EF3CE60" w14:textId="77777777" w:rsidR="005808AD" w:rsidRPr="00312485" w:rsidRDefault="005808AD" w:rsidP="005808AD">
            <w:pPr>
              <w:ind w:firstLine="0"/>
              <w:jc w:val="center"/>
              <w:rPr>
                <w:b/>
                <w:sz w:val="21"/>
                <w:szCs w:val="21"/>
                <w:lang w:val="ro-MD" w:eastAsia="ru-RU"/>
              </w:rPr>
            </w:pPr>
            <w:r w:rsidRPr="00312485">
              <w:rPr>
                <w:sz w:val="21"/>
                <w:szCs w:val="21"/>
                <w:lang w:val="ro-MD"/>
              </w:rPr>
              <w:t>103.0</w:t>
            </w:r>
          </w:p>
        </w:tc>
      </w:tr>
      <w:tr w:rsidR="005808AD" w:rsidRPr="00312485" w14:paraId="224ED7C0" w14:textId="77777777" w:rsidTr="005808AD">
        <w:trPr>
          <w:trHeight w:val="610"/>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EA87A72" w14:textId="24895CC5" w:rsidR="005808AD" w:rsidRPr="00312485" w:rsidRDefault="005808AD" w:rsidP="005808AD">
            <w:pPr>
              <w:ind w:firstLine="0"/>
              <w:rPr>
                <w:b/>
                <w:bCs/>
                <w:sz w:val="21"/>
                <w:szCs w:val="21"/>
                <w:lang w:val="ro-MD" w:eastAsia="ru-RU"/>
              </w:rPr>
            </w:pPr>
            <w:r w:rsidRPr="00312485">
              <w:rPr>
                <w:b/>
                <w:bCs/>
                <w:sz w:val="21"/>
                <w:szCs w:val="21"/>
                <w:lang w:val="ro-MD" w:eastAsia="ru-RU"/>
              </w:rPr>
              <w:t>Indicele prețurilor de consum</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06E31F8" w14:textId="77777777" w:rsidR="005808AD" w:rsidRPr="00521788" w:rsidRDefault="005808AD" w:rsidP="005808AD">
            <w:pPr>
              <w:ind w:firstLine="0"/>
              <w:jc w:val="center"/>
              <w:rPr>
                <w:sz w:val="21"/>
                <w:szCs w:val="21"/>
                <w:lang w:val="ro-MD" w:eastAsia="ru-RU"/>
              </w:rPr>
            </w:pPr>
            <w:r w:rsidRPr="00521788">
              <w:rPr>
                <w:sz w:val="21"/>
                <w:szCs w:val="21"/>
                <w:lang w:val="ro-MD" w:eastAsia="ru-RU"/>
              </w:rPr>
              <w:t> </w:t>
            </w:r>
          </w:p>
        </w:tc>
        <w:tc>
          <w:tcPr>
            <w:tcW w:w="812" w:type="dxa"/>
            <w:tcBorders>
              <w:top w:val="nil"/>
              <w:left w:val="nil"/>
              <w:bottom w:val="single" w:sz="4" w:space="0" w:color="auto"/>
              <w:right w:val="single" w:sz="4" w:space="0" w:color="auto"/>
            </w:tcBorders>
            <w:shd w:val="clear" w:color="auto" w:fill="auto"/>
            <w:vAlign w:val="bottom"/>
          </w:tcPr>
          <w:p w14:paraId="5E7FC6AB" w14:textId="77777777" w:rsidR="005808AD" w:rsidRPr="00312485" w:rsidRDefault="005808AD" w:rsidP="005808AD">
            <w:pPr>
              <w:ind w:firstLine="0"/>
              <w:jc w:val="center"/>
              <w:rPr>
                <w:b/>
                <w:sz w:val="21"/>
                <w:szCs w:val="21"/>
                <w:lang w:val="ro-MD" w:eastAsia="ru-RU"/>
              </w:rPr>
            </w:pPr>
            <w:r w:rsidRPr="00312485">
              <w:rPr>
                <w:sz w:val="21"/>
                <w:szCs w:val="21"/>
                <w:lang w:val="ro-MD"/>
              </w:rPr>
              <w:t> </w:t>
            </w:r>
          </w:p>
        </w:tc>
        <w:tc>
          <w:tcPr>
            <w:tcW w:w="946" w:type="dxa"/>
            <w:tcBorders>
              <w:top w:val="nil"/>
              <w:left w:val="nil"/>
              <w:bottom w:val="single" w:sz="4" w:space="0" w:color="auto"/>
              <w:right w:val="single" w:sz="4" w:space="0" w:color="auto"/>
            </w:tcBorders>
            <w:shd w:val="clear" w:color="auto" w:fill="auto"/>
            <w:vAlign w:val="bottom"/>
          </w:tcPr>
          <w:p w14:paraId="66F56436" w14:textId="77777777" w:rsidR="005808AD" w:rsidRPr="00312485" w:rsidRDefault="005808AD" w:rsidP="005808AD">
            <w:pPr>
              <w:ind w:firstLine="0"/>
              <w:jc w:val="center"/>
              <w:rPr>
                <w:b/>
                <w:sz w:val="21"/>
                <w:szCs w:val="21"/>
                <w:lang w:val="ro-MD" w:eastAsia="ru-RU"/>
              </w:rPr>
            </w:pPr>
            <w:r w:rsidRPr="00312485">
              <w:rPr>
                <w:sz w:val="21"/>
                <w:szCs w:val="21"/>
                <w:lang w:val="ro-MD"/>
              </w:rPr>
              <w:t> </w:t>
            </w:r>
          </w:p>
        </w:tc>
        <w:tc>
          <w:tcPr>
            <w:tcW w:w="845" w:type="dxa"/>
            <w:tcBorders>
              <w:top w:val="nil"/>
              <w:left w:val="nil"/>
              <w:bottom w:val="single" w:sz="4" w:space="0" w:color="auto"/>
              <w:right w:val="single" w:sz="12" w:space="0" w:color="auto"/>
            </w:tcBorders>
            <w:shd w:val="clear" w:color="auto" w:fill="auto"/>
            <w:vAlign w:val="bottom"/>
          </w:tcPr>
          <w:p w14:paraId="6F126081" w14:textId="77777777" w:rsidR="005808AD" w:rsidRPr="00312485" w:rsidRDefault="005808AD" w:rsidP="005808AD">
            <w:pPr>
              <w:ind w:firstLine="0"/>
              <w:jc w:val="center"/>
              <w:rPr>
                <w:b/>
                <w:sz w:val="21"/>
                <w:szCs w:val="21"/>
                <w:lang w:val="ro-MD" w:eastAsia="ru-RU"/>
              </w:rPr>
            </w:pPr>
            <w:r w:rsidRPr="00312485">
              <w:rPr>
                <w:b/>
                <w:bCs/>
                <w:sz w:val="21"/>
                <w:szCs w:val="21"/>
                <w:lang w:val="ro-MD"/>
              </w:rPr>
              <w:t> </w:t>
            </w:r>
          </w:p>
        </w:tc>
        <w:tc>
          <w:tcPr>
            <w:tcW w:w="947" w:type="dxa"/>
            <w:tcBorders>
              <w:top w:val="nil"/>
              <w:left w:val="single" w:sz="12" w:space="0" w:color="auto"/>
              <w:bottom w:val="single" w:sz="4" w:space="0" w:color="auto"/>
              <w:right w:val="single" w:sz="4" w:space="0" w:color="auto"/>
            </w:tcBorders>
            <w:shd w:val="clear" w:color="auto" w:fill="FFFFFF"/>
            <w:vAlign w:val="bottom"/>
          </w:tcPr>
          <w:p w14:paraId="2F0D1C7E" w14:textId="77777777" w:rsidR="005808AD" w:rsidRPr="00312485" w:rsidRDefault="005808AD" w:rsidP="005808AD">
            <w:pPr>
              <w:ind w:firstLine="0"/>
              <w:jc w:val="center"/>
              <w:rPr>
                <w:b/>
                <w:sz w:val="21"/>
                <w:szCs w:val="21"/>
                <w:lang w:val="ro-MD" w:eastAsia="ru-RU"/>
              </w:rPr>
            </w:pPr>
            <w:r w:rsidRPr="00312485">
              <w:rPr>
                <w:b/>
                <w:bCs/>
                <w:sz w:val="21"/>
                <w:szCs w:val="21"/>
                <w:lang w:val="ro-MD"/>
              </w:rPr>
              <w:t> </w:t>
            </w:r>
          </w:p>
        </w:tc>
        <w:tc>
          <w:tcPr>
            <w:tcW w:w="811" w:type="dxa"/>
            <w:tcBorders>
              <w:top w:val="nil"/>
              <w:left w:val="nil"/>
              <w:bottom w:val="single" w:sz="4" w:space="0" w:color="auto"/>
              <w:right w:val="single" w:sz="4" w:space="0" w:color="auto"/>
            </w:tcBorders>
            <w:shd w:val="clear" w:color="auto" w:fill="FFFFFF"/>
            <w:vAlign w:val="bottom"/>
          </w:tcPr>
          <w:p w14:paraId="250AC958" w14:textId="77777777" w:rsidR="005808AD" w:rsidRPr="00312485" w:rsidRDefault="005808AD" w:rsidP="005808AD">
            <w:pPr>
              <w:ind w:firstLine="0"/>
              <w:jc w:val="center"/>
              <w:rPr>
                <w:b/>
                <w:sz w:val="21"/>
                <w:szCs w:val="21"/>
                <w:lang w:val="ro-MD" w:eastAsia="ru-RU"/>
              </w:rPr>
            </w:pPr>
            <w:r w:rsidRPr="00312485">
              <w:rPr>
                <w:b/>
                <w:bCs/>
                <w:sz w:val="21"/>
                <w:szCs w:val="21"/>
                <w:lang w:val="ro-MD"/>
              </w:rPr>
              <w:t> </w:t>
            </w:r>
          </w:p>
        </w:tc>
        <w:tc>
          <w:tcPr>
            <w:tcW w:w="812" w:type="dxa"/>
            <w:tcBorders>
              <w:top w:val="nil"/>
              <w:left w:val="nil"/>
              <w:bottom w:val="single" w:sz="4" w:space="0" w:color="auto"/>
              <w:right w:val="single" w:sz="4" w:space="0" w:color="auto"/>
            </w:tcBorders>
            <w:shd w:val="clear" w:color="auto" w:fill="FFFFFF"/>
            <w:noWrap/>
            <w:vAlign w:val="bottom"/>
          </w:tcPr>
          <w:p w14:paraId="29DAF7F5" w14:textId="77777777" w:rsidR="005808AD" w:rsidRPr="00312485" w:rsidRDefault="005808AD" w:rsidP="005808AD">
            <w:pPr>
              <w:ind w:firstLine="0"/>
              <w:jc w:val="center"/>
              <w:rPr>
                <w:b/>
                <w:sz w:val="21"/>
                <w:szCs w:val="21"/>
                <w:lang w:val="ro-MD" w:eastAsia="ru-RU"/>
              </w:rPr>
            </w:pPr>
            <w:r w:rsidRPr="00312485">
              <w:rPr>
                <w:b/>
                <w:bCs/>
                <w:sz w:val="21"/>
                <w:szCs w:val="21"/>
                <w:lang w:val="ro-MD"/>
              </w:rPr>
              <w:t> </w:t>
            </w:r>
          </w:p>
        </w:tc>
        <w:tc>
          <w:tcPr>
            <w:tcW w:w="811" w:type="dxa"/>
            <w:tcBorders>
              <w:top w:val="nil"/>
              <w:left w:val="nil"/>
              <w:bottom w:val="single" w:sz="4" w:space="0" w:color="auto"/>
              <w:right w:val="single" w:sz="4" w:space="0" w:color="auto"/>
            </w:tcBorders>
            <w:shd w:val="clear" w:color="auto" w:fill="FFFFFF"/>
            <w:vAlign w:val="bottom"/>
          </w:tcPr>
          <w:p w14:paraId="50673451" w14:textId="77777777" w:rsidR="005808AD" w:rsidRPr="00312485" w:rsidRDefault="005808AD" w:rsidP="005808AD">
            <w:pPr>
              <w:ind w:firstLine="0"/>
              <w:jc w:val="center"/>
              <w:rPr>
                <w:b/>
                <w:sz w:val="21"/>
                <w:szCs w:val="21"/>
                <w:lang w:val="ro-MD" w:eastAsia="ru-RU"/>
              </w:rPr>
            </w:pPr>
            <w:r w:rsidRPr="00312485">
              <w:rPr>
                <w:b/>
                <w:bCs/>
                <w:sz w:val="21"/>
                <w:szCs w:val="21"/>
                <w:lang w:val="ro-MD"/>
              </w:rPr>
              <w:t> </w:t>
            </w:r>
          </w:p>
        </w:tc>
      </w:tr>
      <w:tr w:rsidR="005808AD" w:rsidRPr="00312485" w14:paraId="77291061" w14:textId="77777777" w:rsidTr="005808AD">
        <w:trPr>
          <w:trHeight w:val="88"/>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45B7AFCD"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mediu anual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2E01727"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59E4F82D" w14:textId="77777777" w:rsidR="005808AD" w:rsidRPr="00312485" w:rsidRDefault="005808AD" w:rsidP="005808AD">
            <w:pPr>
              <w:ind w:firstLine="0"/>
              <w:jc w:val="center"/>
              <w:rPr>
                <w:b/>
                <w:sz w:val="21"/>
                <w:szCs w:val="21"/>
                <w:lang w:val="ro-MD" w:eastAsia="ru-RU"/>
              </w:rPr>
            </w:pPr>
            <w:r w:rsidRPr="00312485">
              <w:rPr>
                <w:sz w:val="21"/>
                <w:szCs w:val="21"/>
                <w:lang w:val="ro-MD"/>
              </w:rPr>
              <w:t>128.7</w:t>
            </w:r>
          </w:p>
        </w:tc>
        <w:tc>
          <w:tcPr>
            <w:tcW w:w="946" w:type="dxa"/>
            <w:tcBorders>
              <w:top w:val="nil"/>
              <w:left w:val="nil"/>
              <w:bottom w:val="single" w:sz="4" w:space="0" w:color="auto"/>
              <w:right w:val="single" w:sz="4" w:space="0" w:color="auto"/>
            </w:tcBorders>
            <w:shd w:val="clear" w:color="auto" w:fill="auto"/>
            <w:vAlign w:val="bottom"/>
            <w:hideMark/>
          </w:tcPr>
          <w:p w14:paraId="4011BB5A" w14:textId="77777777" w:rsidR="005808AD" w:rsidRPr="00312485" w:rsidRDefault="005808AD" w:rsidP="005808AD">
            <w:pPr>
              <w:ind w:firstLine="0"/>
              <w:jc w:val="center"/>
              <w:rPr>
                <w:b/>
                <w:sz w:val="21"/>
                <w:szCs w:val="21"/>
                <w:lang w:val="ro-MD" w:eastAsia="ru-RU"/>
              </w:rPr>
            </w:pPr>
            <w:r w:rsidRPr="00312485">
              <w:rPr>
                <w:sz w:val="21"/>
                <w:szCs w:val="21"/>
                <w:lang w:val="ro-MD"/>
              </w:rPr>
              <w:t>113.4</w:t>
            </w:r>
          </w:p>
        </w:tc>
        <w:tc>
          <w:tcPr>
            <w:tcW w:w="845" w:type="dxa"/>
            <w:tcBorders>
              <w:top w:val="nil"/>
              <w:left w:val="nil"/>
              <w:bottom w:val="single" w:sz="4" w:space="0" w:color="auto"/>
              <w:right w:val="single" w:sz="12" w:space="0" w:color="auto"/>
            </w:tcBorders>
            <w:shd w:val="clear" w:color="auto" w:fill="auto"/>
            <w:vAlign w:val="bottom"/>
            <w:hideMark/>
          </w:tcPr>
          <w:p w14:paraId="034D3FD8" w14:textId="77777777" w:rsidR="005808AD" w:rsidRPr="00312485" w:rsidRDefault="005808AD" w:rsidP="005808AD">
            <w:pPr>
              <w:ind w:firstLine="0"/>
              <w:jc w:val="center"/>
              <w:rPr>
                <w:b/>
                <w:sz w:val="21"/>
                <w:szCs w:val="21"/>
                <w:lang w:val="ro-MD" w:eastAsia="ru-RU"/>
              </w:rPr>
            </w:pPr>
            <w:r w:rsidRPr="00312485">
              <w:rPr>
                <w:sz w:val="21"/>
                <w:szCs w:val="21"/>
                <w:lang w:val="ro-MD"/>
              </w:rPr>
              <w:t>104.7</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4596F445" w14:textId="77777777" w:rsidR="005808AD" w:rsidRPr="00312485" w:rsidRDefault="005808AD" w:rsidP="005808AD">
            <w:pPr>
              <w:ind w:firstLine="0"/>
              <w:jc w:val="center"/>
              <w:rPr>
                <w:b/>
                <w:sz w:val="21"/>
                <w:szCs w:val="21"/>
                <w:lang w:val="ro-MD" w:eastAsia="ru-RU"/>
              </w:rPr>
            </w:pPr>
            <w:r w:rsidRPr="00312485">
              <w:rPr>
                <w:sz w:val="21"/>
                <w:szCs w:val="21"/>
                <w:lang w:val="ro-MD"/>
              </w:rPr>
              <w:t>107.3</w:t>
            </w:r>
          </w:p>
        </w:tc>
        <w:tc>
          <w:tcPr>
            <w:tcW w:w="811" w:type="dxa"/>
            <w:tcBorders>
              <w:top w:val="nil"/>
              <w:left w:val="nil"/>
              <w:bottom w:val="single" w:sz="4" w:space="0" w:color="auto"/>
              <w:right w:val="single" w:sz="4" w:space="0" w:color="auto"/>
            </w:tcBorders>
            <w:shd w:val="clear" w:color="auto" w:fill="FFFFFF"/>
            <w:vAlign w:val="bottom"/>
            <w:hideMark/>
          </w:tcPr>
          <w:p w14:paraId="4B25DAC0" w14:textId="77777777" w:rsidR="005808AD" w:rsidRPr="00312485" w:rsidRDefault="005808AD" w:rsidP="005808AD">
            <w:pPr>
              <w:ind w:firstLine="0"/>
              <w:jc w:val="center"/>
              <w:rPr>
                <w:b/>
                <w:sz w:val="21"/>
                <w:szCs w:val="21"/>
                <w:lang w:val="ro-MD" w:eastAsia="ru-RU"/>
              </w:rPr>
            </w:pPr>
            <w:r w:rsidRPr="00312485">
              <w:rPr>
                <w:sz w:val="21"/>
                <w:szCs w:val="21"/>
                <w:lang w:val="ro-MD"/>
              </w:rPr>
              <w:t>104.7</w:t>
            </w:r>
          </w:p>
        </w:tc>
        <w:tc>
          <w:tcPr>
            <w:tcW w:w="812" w:type="dxa"/>
            <w:tcBorders>
              <w:top w:val="nil"/>
              <w:left w:val="nil"/>
              <w:bottom w:val="single" w:sz="4" w:space="0" w:color="auto"/>
              <w:right w:val="single" w:sz="4" w:space="0" w:color="auto"/>
            </w:tcBorders>
            <w:shd w:val="clear" w:color="auto" w:fill="FFFFFF"/>
            <w:noWrap/>
            <w:vAlign w:val="bottom"/>
            <w:hideMark/>
          </w:tcPr>
          <w:p w14:paraId="0645E6DF" w14:textId="77777777" w:rsidR="005808AD" w:rsidRPr="00312485" w:rsidRDefault="005808AD" w:rsidP="005808AD">
            <w:pPr>
              <w:ind w:firstLine="0"/>
              <w:jc w:val="center"/>
              <w:rPr>
                <w:b/>
                <w:sz w:val="21"/>
                <w:szCs w:val="21"/>
                <w:lang w:val="ro-MD" w:eastAsia="ru-RU"/>
              </w:rPr>
            </w:pPr>
            <w:r w:rsidRPr="00312485">
              <w:rPr>
                <w:sz w:val="21"/>
                <w:szCs w:val="21"/>
                <w:lang w:val="ro-MD"/>
              </w:rPr>
              <w:t>105.0</w:t>
            </w:r>
          </w:p>
        </w:tc>
        <w:tc>
          <w:tcPr>
            <w:tcW w:w="811" w:type="dxa"/>
            <w:tcBorders>
              <w:top w:val="nil"/>
              <w:left w:val="nil"/>
              <w:bottom w:val="single" w:sz="4" w:space="0" w:color="auto"/>
              <w:right w:val="single" w:sz="4" w:space="0" w:color="auto"/>
            </w:tcBorders>
            <w:shd w:val="clear" w:color="auto" w:fill="FFFFFF"/>
            <w:vAlign w:val="bottom"/>
            <w:hideMark/>
          </w:tcPr>
          <w:p w14:paraId="42B6BACD" w14:textId="77777777" w:rsidR="005808AD" w:rsidRPr="00312485" w:rsidRDefault="005808AD" w:rsidP="005808AD">
            <w:pPr>
              <w:ind w:firstLine="0"/>
              <w:jc w:val="center"/>
              <w:rPr>
                <w:b/>
                <w:sz w:val="21"/>
                <w:szCs w:val="21"/>
                <w:lang w:val="ro-MD" w:eastAsia="ru-RU"/>
              </w:rPr>
            </w:pPr>
            <w:r w:rsidRPr="00312485">
              <w:rPr>
                <w:sz w:val="21"/>
                <w:szCs w:val="21"/>
                <w:lang w:val="ro-MD"/>
              </w:rPr>
              <w:t>105.0</w:t>
            </w:r>
          </w:p>
        </w:tc>
      </w:tr>
      <w:tr w:rsidR="005808AD" w:rsidRPr="00312485" w14:paraId="0776BAD5" w14:textId="77777777" w:rsidTr="005808AD">
        <w:trPr>
          <w:trHeight w:val="203"/>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7D664522"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la sfârșitul anului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77718C5"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0EFE1B4E" w14:textId="77777777" w:rsidR="005808AD" w:rsidRPr="00312485" w:rsidRDefault="005808AD" w:rsidP="005808AD">
            <w:pPr>
              <w:ind w:firstLine="0"/>
              <w:jc w:val="center"/>
              <w:rPr>
                <w:b/>
                <w:sz w:val="21"/>
                <w:szCs w:val="21"/>
                <w:lang w:val="ro-MD" w:eastAsia="ru-RU"/>
              </w:rPr>
            </w:pPr>
            <w:r w:rsidRPr="00312485">
              <w:rPr>
                <w:sz w:val="21"/>
                <w:szCs w:val="21"/>
                <w:lang w:val="ro-MD"/>
              </w:rPr>
              <w:t>130.2</w:t>
            </w:r>
          </w:p>
        </w:tc>
        <w:tc>
          <w:tcPr>
            <w:tcW w:w="946" w:type="dxa"/>
            <w:tcBorders>
              <w:top w:val="nil"/>
              <w:left w:val="nil"/>
              <w:bottom w:val="single" w:sz="4" w:space="0" w:color="auto"/>
              <w:right w:val="single" w:sz="4" w:space="0" w:color="auto"/>
            </w:tcBorders>
            <w:shd w:val="clear" w:color="auto" w:fill="auto"/>
            <w:vAlign w:val="bottom"/>
            <w:hideMark/>
          </w:tcPr>
          <w:p w14:paraId="456A3BBA" w14:textId="77777777" w:rsidR="005808AD" w:rsidRPr="00312485" w:rsidRDefault="005808AD" w:rsidP="005808AD">
            <w:pPr>
              <w:ind w:firstLine="0"/>
              <w:jc w:val="center"/>
              <w:rPr>
                <w:b/>
                <w:sz w:val="21"/>
                <w:szCs w:val="21"/>
                <w:lang w:val="ro-MD" w:eastAsia="ru-RU"/>
              </w:rPr>
            </w:pPr>
            <w:r w:rsidRPr="00312485">
              <w:rPr>
                <w:sz w:val="21"/>
                <w:szCs w:val="21"/>
                <w:lang w:val="ro-MD"/>
              </w:rPr>
              <w:t>104.2</w:t>
            </w:r>
          </w:p>
        </w:tc>
        <w:tc>
          <w:tcPr>
            <w:tcW w:w="845" w:type="dxa"/>
            <w:tcBorders>
              <w:top w:val="nil"/>
              <w:left w:val="nil"/>
              <w:bottom w:val="single" w:sz="4" w:space="0" w:color="auto"/>
              <w:right w:val="single" w:sz="12" w:space="0" w:color="auto"/>
            </w:tcBorders>
            <w:shd w:val="clear" w:color="auto" w:fill="auto"/>
            <w:vAlign w:val="bottom"/>
            <w:hideMark/>
          </w:tcPr>
          <w:p w14:paraId="178237D9" w14:textId="77777777" w:rsidR="005808AD" w:rsidRPr="00312485" w:rsidRDefault="005808AD" w:rsidP="005808AD">
            <w:pPr>
              <w:ind w:firstLine="0"/>
              <w:jc w:val="center"/>
              <w:rPr>
                <w:b/>
                <w:sz w:val="21"/>
                <w:szCs w:val="21"/>
                <w:lang w:val="ro-MD" w:eastAsia="ru-RU"/>
              </w:rPr>
            </w:pPr>
            <w:r w:rsidRPr="00312485">
              <w:rPr>
                <w:sz w:val="21"/>
                <w:szCs w:val="21"/>
                <w:lang w:val="ro-MD"/>
              </w:rPr>
              <w:t>106.9</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79A53B2C" w14:textId="77777777" w:rsidR="005808AD" w:rsidRPr="00312485" w:rsidRDefault="005808AD" w:rsidP="005808AD">
            <w:pPr>
              <w:ind w:firstLine="0"/>
              <w:jc w:val="center"/>
              <w:rPr>
                <w:b/>
                <w:sz w:val="21"/>
                <w:szCs w:val="21"/>
                <w:lang w:val="ro-MD" w:eastAsia="ru-RU"/>
              </w:rPr>
            </w:pPr>
            <w:r w:rsidRPr="00312485">
              <w:rPr>
                <w:sz w:val="21"/>
                <w:szCs w:val="21"/>
                <w:lang w:val="ro-MD"/>
              </w:rPr>
              <w:t>106.1</w:t>
            </w:r>
          </w:p>
        </w:tc>
        <w:tc>
          <w:tcPr>
            <w:tcW w:w="811" w:type="dxa"/>
            <w:tcBorders>
              <w:top w:val="nil"/>
              <w:left w:val="nil"/>
              <w:bottom w:val="single" w:sz="4" w:space="0" w:color="auto"/>
              <w:right w:val="single" w:sz="4" w:space="0" w:color="auto"/>
            </w:tcBorders>
            <w:shd w:val="clear" w:color="auto" w:fill="FFFFFF"/>
            <w:vAlign w:val="bottom"/>
            <w:hideMark/>
          </w:tcPr>
          <w:p w14:paraId="52DC01CB" w14:textId="77777777" w:rsidR="005808AD" w:rsidRPr="00312485" w:rsidRDefault="005808AD" w:rsidP="005808AD">
            <w:pPr>
              <w:ind w:firstLine="0"/>
              <w:jc w:val="center"/>
              <w:rPr>
                <w:b/>
                <w:sz w:val="21"/>
                <w:szCs w:val="21"/>
                <w:lang w:val="ro-MD" w:eastAsia="ru-RU"/>
              </w:rPr>
            </w:pPr>
            <w:r w:rsidRPr="00312485">
              <w:rPr>
                <w:sz w:val="21"/>
                <w:szCs w:val="21"/>
                <w:lang w:val="ro-MD"/>
              </w:rPr>
              <w:t>104.6</w:t>
            </w:r>
          </w:p>
        </w:tc>
        <w:tc>
          <w:tcPr>
            <w:tcW w:w="812" w:type="dxa"/>
            <w:tcBorders>
              <w:top w:val="nil"/>
              <w:left w:val="nil"/>
              <w:bottom w:val="single" w:sz="4" w:space="0" w:color="auto"/>
              <w:right w:val="single" w:sz="4" w:space="0" w:color="auto"/>
            </w:tcBorders>
            <w:shd w:val="clear" w:color="auto" w:fill="FFFFFF"/>
            <w:noWrap/>
            <w:vAlign w:val="bottom"/>
            <w:hideMark/>
          </w:tcPr>
          <w:p w14:paraId="5D3D977F" w14:textId="77777777" w:rsidR="005808AD" w:rsidRPr="00312485" w:rsidRDefault="005808AD" w:rsidP="005808AD">
            <w:pPr>
              <w:ind w:firstLine="0"/>
              <w:jc w:val="center"/>
              <w:rPr>
                <w:b/>
                <w:sz w:val="21"/>
                <w:szCs w:val="21"/>
                <w:lang w:val="ro-MD" w:eastAsia="ru-RU"/>
              </w:rPr>
            </w:pPr>
            <w:r w:rsidRPr="00312485">
              <w:rPr>
                <w:sz w:val="21"/>
                <w:szCs w:val="21"/>
                <w:lang w:val="ro-MD"/>
              </w:rPr>
              <w:t>105.0</w:t>
            </w:r>
          </w:p>
        </w:tc>
        <w:tc>
          <w:tcPr>
            <w:tcW w:w="811" w:type="dxa"/>
            <w:tcBorders>
              <w:top w:val="nil"/>
              <w:left w:val="nil"/>
              <w:bottom w:val="single" w:sz="4" w:space="0" w:color="auto"/>
              <w:right w:val="single" w:sz="4" w:space="0" w:color="auto"/>
            </w:tcBorders>
            <w:shd w:val="clear" w:color="auto" w:fill="FFFFFF"/>
            <w:vAlign w:val="bottom"/>
            <w:hideMark/>
          </w:tcPr>
          <w:p w14:paraId="1EE9B94E" w14:textId="77777777" w:rsidR="005808AD" w:rsidRPr="00312485" w:rsidRDefault="005808AD" w:rsidP="005808AD">
            <w:pPr>
              <w:ind w:firstLine="0"/>
              <w:jc w:val="center"/>
              <w:rPr>
                <w:b/>
                <w:sz w:val="21"/>
                <w:szCs w:val="21"/>
                <w:lang w:val="ro-MD" w:eastAsia="ru-RU"/>
              </w:rPr>
            </w:pPr>
            <w:r w:rsidRPr="00312485">
              <w:rPr>
                <w:sz w:val="21"/>
                <w:szCs w:val="21"/>
                <w:lang w:val="ro-MD"/>
              </w:rPr>
              <w:t>105.0</w:t>
            </w:r>
          </w:p>
        </w:tc>
      </w:tr>
      <w:tr w:rsidR="005808AD" w:rsidRPr="00312485" w14:paraId="03C4CD0C" w14:textId="77777777" w:rsidTr="001047F9">
        <w:trPr>
          <w:trHeight w:val="31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34EC29A5" w14:textId="77777777" w:rsidR="005808AD" w:rsidRPr="00312485" w:rsidRDefault="005808AD" w:rsidP="005808AD">
            <w:pPr>
              <w:ind w:firstLine="0"/>
              <w:rPr>
                <w:b/>
                <w:bCs/>
                <w:sz w:val="21"/>
                <w:szCs w:val="21"/>
                <w:lang w:val="ro-MD" w:eastAsia="ru-RU"/>
              </w:rPr>
            </w:pPr>
            <w:r w:rsidRPr="00312485">
              <w:rPr>
                <w:b/>
                <w:bCs/>
                <w:sz w:val="21"/>
                <w:szCs w:val="21"/>
                <w:lang w:val="ro-MD" w:eastAsia="ru-RU"/>
              </w:rPr>
              <w:t>Exporturi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3067E66"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mil.USD</w:t>
            </w:r>
            <w:proofErr w:type="spellEnd"/>
          </w:p>
        </w:tc>
        <w:tc>
          <w:tcPr>
            <w:tcW w:w="812" w:type="dxa"/>
            <w:tcBorders>
              <w:top w:val="nil"/>
              <w:left w:val="nil"/>
              <w:bottom w:val="single" w:sz="4" w:space="0" w:color="auto"/>
              <w:right w:val="single" w:sz="4" w:space="0" w:color="auto"/>
            </w:tcBorders>
            <w:shd w:val="clear" w:color="auto" w:fill="auto"/>
            <w:vAlign w:val="bottom"/>
            <w:hideMark/>
          </w:tcPr>
          <w:p w14:paraId="0B2BF8A2" w14:textId="77777777" w:rsidR="005808AD" w:rsidRPr="00312485" w:rsidRDefault="005808AD" w:rsidP="005808AD">
            <w:pPr>
              <w:ind w:firstLine="0"/>
              <w:jc w:val="center"/>
              <w:rPr>
                <w:b/>
                <w:sz w:val="21"/>
                <w:szCs w:val="21"/>
                <w:lang w:val="ro-MD" w:eastAsia="ru-RU"/>
              </w:rPr>
            </w:pPr>
            <w:r w:rsidRPr="00312485">
              <w:rPr>
                <w:sz w:val="21"/>
                <w:szCs w:val="21"/>
                <w:lang w:val="ro-MD"/>
              </w:rPr>
              <w:t>4332</w:t>
            </w:r>
          </w:p>
        </w:tc>
        <w:tc>
          <w:tcPr>
            <w:tcW w:w="946" w:type="dxa"/>
            <w:tcBorders>
              <w:top w:val="nil"/>
              <w:left w:val="nil"/>
              <w:bottom w:val="single" w:sz="4" w:space="0" w:color="auto"/>
              <w:right w:val="single" w:sz="4" w:space="0" w:color="auto"/>
            </w:tcBorders>
            <w:shd w:val="clear" w:color="auto" w:fill="auto"/>
            <w:vAlign w:val="bottom"/>
            <w:hideMark/>
          </w:tcPr>
          <w:p w14:paraId="30EE0FB5" w14:textId="77777777" w:rsidR="005808AD" w:rsidRPr="00312485" w:rsidRDefault="005808AD" w:rsidP="005808AD">
            <w:pPr>
              <w:ind w:firstLine="0"/>
              <w:jc w:val="center"/>
              <w:rPr>
                <w:b/>
                <w:sz w:val="21"/>
                <w:szCs w:val="21"/>
                <w:lang w:val="ro-MD" w:eastAsia="ru-RU"/>
              </w:rPr>
            </w:pPr>
            <w:r w:rsidRPr="00312485">
              <w:rPr>
                <w:sz w:val="21"/>
                <w:szCs w:val="21"/>
                <w:lang w:val="ro-MD"/>
              </w:rPr>
              <w:t>4049</w:t>
            </w:r>
          </w:p>
        </w:tc>
        <w:tc>
          <w:tcPr>
            <w:tcW w:w="845" w:type="dxa"/>
            <w:tcBorders>
              <w:top w:val="nil"/>
              <w:left w:val="nil"/>
              <w:bottom w:val="single" w:sz="4" w:space="0" w:color="auto"/>
              <w:right w:val="single" w:sz="12" w:space="0" w:color="auto"/>
            </w:tcBorders>
            <w:shd w:val="clear" w:color="auto" w:fill="auto"/>
            <w:vAlign w:val="bottom"/>
            <w:hideMark/>
          </w:tcPr>
          <w:p w14:paraId="37DD56B7" w14:textId="77777777" w:rsidR="005808AD" w:rsidRPr="00312485" w:rsidRDefault="005808AD" w:rsidP="005808AD">
            <w:pPr>
              <w:ind w:firstLine="0"/>
              <w:jc w:val="center"/>
              <w:rPr>
                <w:b/>
                <w:sz w:val="21"/>
                <w:szCs w:val="21"/>
                <w:lang w:val="ro-MD" w:eastAsia="ru-RU"/>
              </w:rPr>
            </w:pPr>
            <w:r w:rsidRPr="00312485">
              <w:rPr>
                <w:sz w:val="21"/>
                <w:szCs w:val="21"/>
                <w:lang w:val="ro-MD"/>
              </w:rPr>
              <w:t>3555</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41547AA7" w14:textId="77777777" w:rsidR="005808AD" w:rsidRPr="00312485" w:rsidRDefault="005808AD" w:rsidP="005808AD">
            <w:pPr>
              <w:ind w:firstLine="0"/>
              <w:jc w:val="center"/>
              <w:rPr>
                <w:b/>
                <w:sz w:val="21"/>
                <w:szCs w:val="21"/>
                <w:lang w:val="ro-MD" w:eastAsia="ru-RU"/>
              </w:rPr>
            </w:pPr>
            <w:r w:rsidRPr="00312485">
              <w:rPr>
                <w:sz w:val="21"/>
                <w:szCs w:val="21"/>
                <w:lang w:val="ro-MD"/>
              </w:rPr>
              <w:t>3850</w:t>
            </w:r>
          </w:p>
        </w:tc>
        <w:tc>
          <w:tcPr>
            <w:tcW w:w="811" w:type="dxa"/>
            <w:tcBorders>
              <w:top w:val="nil"/>
              <w:left w:val="nil"/>
              <w:bottom w:val="single" w:sz="4" w:space="0" w:color="auto"/>
              <w:right w:val="single" w:sz="4" w:space="0" w:color="auto"/>
            </w:tcBorders>
            <w:shd w:val="clear" w:color="auto" w:fill="FFFFFF"/>
            <w:vAlign w:val="bottom"/>
            <w:hideMark/>
          </w:tcPr>
          <w:p w14:paraId="60F24024" w14:textId="77777777" w:rsidR="005808AD" w:rsidRPr="00312485" w:rsidRDefault="005808AD" w:rsidP="005808AD">
            <w:pPr>
              <w:ind w:firstLine="0"/>
              <w:jc w:val="center"/>
              <w:rPr>
                <w:b/>
                <w:sz w:val="21"/>
                <w:szCs w:val="21"/>
                <w:lang w:val="ro-MD" w:eastAsia="ru-RU"/>
              </w:rPr>
            </w:pPr>
            <w:r w:rsidRPr="00312485">
              <w:rPr>
                <w:sz w:val="21"/>
                <w:szCs w:val="21"/>
                <w:lang w:val="ro-MD"/>
              </w:rPr>
              <w:t>4150</w:t>
            </w:r>
          </w:p>
        </w:tc>
        <w:tc>
          <w:tcPr>
            <w:tcW w:w="812" w:type="dxa"/>
            <w:tcBorders>
              <w:top w:val="nil"/>
              <w:left w:val="nil"/>
              <w:bottom w:val="single" w:sz="4" w:space="0" w:color="auto"/>
              <w:right w:val="single" w:sz="4" w:space="0" w:color="auto"/>
            </w:tcBorders>
            <w:shd w:val="clear" w:color="auto" w:fill="FFFFFF"/>
            <w:noWrap/>
            <w:vAlign w:val="bottom"/>
            <w:hideMark/>
          </w:tcPr>
          <w:p w14:paraId="48939F5C" w14:textId="77777777" w:rsidR="005808AD" w:rsidRPr="00312485" w:rsidRDefault="005808AD" w:rsidP="005808AD">
            <w:pPr>
              <w:ind w:firstLine="0"/>
              <w:jc w:val="center"/>
              <w:rPr>
                <w:b/>
                <w:sz w:val="21"/>
                <w:szCs w:val="21"/>
                <w:lang w:val="ro-MD" w:eastAsia="ru-RU"/>
              </w:rPr>
            </w:pPr>
            <w:r w:rsidRPr="00312485">
              <w:rPr>
                <w:sz w:val="21"/>
                <w:szCs w:val="21"/>
                <w:lang w:val="ro-MD"/>
              </w:rPr>
              <w:t>4420</w:t>
            </w:r>
          </w:p>
        </w:tc>
        <w:tc>
          <w:tcPr>
            <w:tcW w:w="811" w:type="dxa"/>
            <w:tcBorders>
              <w:top w:val="nil"/>
              <w:left w:val="nil"/>
              <w:bottom w:val="single" w:sz="4" w:space="0" w:color="auto"/>
              <w:right w:val="single" w:sz="4" w:space="0" w:color="auto"/>
            </w:tcBorders>
            <w:shd w:val="clear" w:color="auto" w:fill="FFFFFF"/>
            <w:vAlign w:val="bottom"/>
            <w:hideMark/>
          </w:tcPr>
          <w:p w14:paraId="6255770B" w14:textId="77777777" w:rsidR="005808AD" w:rsidRPr="00312485" w:rsidRDefault="005808AD" w:rsidP="005808AD">
            <w:pPr>
              <w:ind w:firstLine="0"/>
              <w:jc w:val="center"/>
              <w:rPr>
                <w:b/>
                <w:sz w:val="21"/>
                <w:szCs w:val="21"/>
                <w:lang w:val="ro-MD" w:eastAsia="ru-RU"/>
              </w:rPr>
            </w:pPr>
            <w:r w:rsidRPr="00312485">
              <w:rPr>
                <w:sz w:val="21"/>
                <w:szCs w:val="21"/>
                <w:lang w:val="ro-MD"/>
              </w:rPr>
              <w:t>4680</w:t>
            </w:r>
          </w:p>
        </w:tc>
      </w:tr>
      <w:tr w:rsidR="005808AD" w:rsidRPr="00312485" w14:paraId="4B1B6279"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FFAF5FD"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față de anul precedent</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9BBC054"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42CE330D" w14:textId="77777777" w:rsidR="005808AD" w:rsidRPr="00312485" w:rsidRDefault="005808AD" w:rsidP="005808AD">
            <w:pPr>
              <w:ind w:firstLine="0"/>
              <w:jc w:val="center"/>
              <w:rPr>
                <w:b/>
                <w:sz w:val="21"/>
                <w:szCs w:val="21"/>
                <w:lang w:val="ro-MD" w:eastAsia="ru-RU"/>
              </w:rPr>
            </w:pPr>
            <w:r w:rsidRPr="00312485">
              <w:rPr>
                <w:sz w:val="21"/>
                <w:szCs w:val="21"/>
                <w:lang w:val="ro-MD"/>
              </w:rPr>
              <w:t>137.8</w:t>
            </w:r>
          </w:p>
        </w:tc>
        <w:tc>
          <w:tcPr>
            <w:tcW w:w="946" w:type="dxa"/>
            <w:tcBorders>
              <w:top w:val="nil"/>
              <w:left w:val="nil"/>
              <w:bottom w:val="single" w:sz="4" w:space="0" w:color="auto"/>
              <w:right w:val="single" w:sz="4" w:space="0" w:color="auto"/>
            </w:tcBorders>
            <w:shd w:val="clear" w:color="auto" w:fill="auto"/>
            <w:vAlign w:val="bottom"/>
            <w:hideMark/>
          </w:tcPr>
          <w:p w14:paraId="7B896012" w14:textId="77777777" w:rsidR="005808AD" w:rsidRPr="00312485" w:rsidRDefault="005808AD" w:rsidP="005808AD">
            <w:pPr>
              <w:ind w:firstLine="0"/>
              <w:jc w:val="center"/>
              <w:rPr>
                <w:b/>
                <w:sz w:val="21"/>
                <w:szCs w:val="21"/>
                <w:lang w:val="ro-MD" w:eastAsia="ru-RU"/>
              </w:rPr>
            </w:pPr>
            <w:r w:rsidRPr="00312485">
              <w:rPr>
                <w:sz w:val="21"/>
                <w:szCs w:val="21"/>
                <w:lang w:val="ro-MD"/>
              </w:rPr>
              <w:t>93.5</w:t>
            </w:r>
          </w:p>
        </w:tc>
        <w:tc>
          <w:tcPr>
            <w:tcW w:w="845" w:type="dxa"/>
            <w:tcBorders>
              <w:top w:val="nil"/>
              <w:left w:val="nil"/>
              <w:bottom w:val="single" w:sz="4" w:space="0" w:color="auto"/>
              <w:right w:val="single" w:sz="12" w:space="0" w:color="auto"/>
            </w:tcBorders>
            <w:shd w:val="clear" w:color="auto" w:fill="auto"/>
            <w:vAlign w:val="bottom"/>
            <w:hideMark/>
          </w:tcPr>
          <w:p w14:paraId="60379763" w14:textId="77777777" w:rsidR="005808AD" w:rsidRPr="00312485" w:rsidRDefault="005808AD" w:rsidP="005808AD">
            <w:pPr>
              <w:ind w:firstLine="0"/>
              <w:jc w:val="center"/>
              <w:rPr>
                <w:b/>
                <w:sz w:val="21"/>
                <w:szCs w:val="21"/>
                <w:lang w:val="ro-MD" w:eastAsia="ru-RU"/>
              </w:rPr>
            </w:pPr>
            <w:r w:rsidRPr="00312485">
              <w:rPr>
                <w:sz w:val="21"/>
                <w:szCs w:val="21"/>
                <w:lang w:val="ro-MD"/>
              </w:rPr>
              <w:t>87.8</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4FB78CC0" w14:textId="77777777" w:rsidR="005808AD" w:rsidRPr="00312485" w:rsidRDefault="005808AD" w:rsidP="005808AD">
            <w:pPr>
              <w:ind w:firstLine="0"/>
              <w:jc w:val="center"/>
              <w:rPr>
                <w:b/>
                <w:sz w:val="21"/>
                <w:szCs w:val="21"/>
                <w:lang w:val="ro-MD" w:eastAsia="ru-RU"/>
              </w:rPr>
            </w:pPr>
            <w:r w:rsidRPr="00312485">
              <w:rPr>
                <w:sz w:val="21"/>
                <w:szCs w:val="21"/>
                <w:lang w:val="ro-MD"/>
              </w:rPr>
              <w:t>108.3</w:t>
            </w:r>
          </w:p>
        </w:tc>
        <w:tc>
          <w:tcPr>
            <w:tcW w:w="811" w:type="dxa"/>
            <w:tcBorders>
              <w:top w:val="nil"/>
              <w:left w:val="nil"/>
              <w:bottom w:val="single" w:sz="4" w:space="0" w:color="auto"/>
              <w:right w:val="single" w:sz="4" w:space="0" w:color="auto"/>
            </w:tcBorders>
            <w:shd w:val="clear" w:color="auto" w:fill="FFFFFF"/>
            <w:vAlign w:val="bottom"/>
            <w:hideMark/>
          </w:tcPr>
          <w:p w14:paraId="4F9F8F25" w14:textId="77777777" w:rsidR="005808AD" w:rsidRPr="00312485" w:rsidRDefault="005808AD" w:rsidP="005808AD">
            <w:pPr>
              <w:ind w:firstLine="0"/>
              <w:jc w:val="center"/>
              <w:rPr>
                <w:b/>
                <w:sz w:val="21"/>
                <w:szCs w:val="21"/>
                <w:lang w:val="ro-MD" w:eastAsia="ru-RU"/>
              </w:rPr>
            </w:pPr>
            <w:r w:rsidRPr="00312485">
              <w:rPr>
                <w:sz w:val="21"/>
                <w:szCs w:val="21"/>
                <w:lang w:val="ro-MD"/>
              </w:rPr>
              <w:t>107.8</w:t>
            </w:r>
          </w:p>
        </w:tc>
        <w:tc>
          <w:tcPr>
            <w:tcW w:w="812" w:type="dxa"/>
            <w:tcBorders>
              <w:top w:val="nil"/>
              <w:left w:val="nil"/>
              <w:bottom w:val="single" w:sz="4" w:space="0" w:color="auto"/>
              <w:right w:val="single" w:sz="4" w:space="0" w:color="auto"/>
            </w:tcBorders>
            <w:shd w:val="clear" w:color="auto" w:fill="FFFFFF"/>
            <w:noWrap/>
            <w:vAlign w:val="bottom"/>
            <w:hideMark/>
          </w:tcPr>
          <w:p w14:paraId="37435FC6" w14:textId="77777777" w:rsidR="005808AD" w:rsidRPr="00312485" w:rsidRDefault="005808AD" w:rsidP="005808AD">
            <w:pPr>
              <w:ind w:firstLine="0"/>
              <w:jc w:val="center"/>
              <w:rPr>
                <w:b/>
                <w:sz w:val="21"/>
                <w:szCs w:val="21"/>
                <w:lang w:val="ro-MD" w:eastAsia="ru-RU"/>
              </w:rPr>
            </w:pPr>
            <w:r w:rsidRPr="00312485">
              <w:rPr>
                <w:sz w:val="21"/>
                <w:szCs w:val="21"/>
                <w:lang w:val="ro-MD"/>
              </w:rPr>
              <w:t>106.5</w:t>
            </w:r>
          </w:p>
        </w:tc>
        <w:tc>
          <w:tcPr>
            <w:tcW w:w="811" w:type="dxa"/>
            <w:tcBorders>
              <w:top w:val="nil"/>
              <w:left w:val="nil"/>
              <w:bottom w:val="single" w:sz="4" w:space="0" w:color="auto"/>
              <w:right w:val="single" w:sz="4" w:space="0" w:color="auto"/>
            </w:tcBorders>
            <w:shd w:val="clear" w:color="auto" w:fill="FFFFFF"/>
            <w:vAlign w:val="bottom"/>
            <w:hideMark/>
          </w:tcPr>
          <w:p w14:paraId="2EBE06E6" w14:textId="77777777" w:rsidR="005808AD" w:rsidRPr="00312485" w:rsidRDefault="005808AD" w:rsidP="005808AD">
            <w:pPr>
              <w:ind w:firstLine="0"/>
              <w:jc w:val="center"/>
              <w:rPr>
                <w:b/>
                <w:sz w:val="21"/>
                <w:szCs w:val="21"/>
                <w:lang w:val="ro-MD" w:eastAsia="ru-RU"/>
              </w:rPr>
            </w:pPr>
            <w:r w:rsidRPr="00312485">
              <w:rPr>
                <w:sz w:val="21"/>
                <w:szCs w:val="21"/>
                <w:lang w:val="ro-MD"/>
              </w:rPr>
              <w:t>105.9</w:t>
            </w:r>
          </w:p>
        </w:tc>
      </w:tr>
      <w:tr w:rsidR="005808AD" w:rsidRPr="00312485" w14:paraId="39B94CDB"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749D8948" w14:textId="77777777" w:rsidR="005808AD" w:rsidRPr="00312485" w:rsidRDefault="005808AD" w:rsidP="005808AD">
            <w:pPr>
              <w:ind w:firstLine="0"/>
              <w:rPr>
                <w:b/>
                <w:bCs/>
                <w:sz w:val="21"/>
                <w:szCs w:val="21"/>
                <w:lang w:val="ro-MD" w:eastAsia="ru-RU"/>
              </w:rPr>
            </w:pPr>
            <w:r w:rsidRPr="00312485">
              <w:rPr>
                <w:b/>
                <w:bCs/>
                <w:sz w:val="21"/>
                <w:szCs w:val="21"/>
                <w:lang w:val="ro-MD" w:eastAsia="ru-RU"/>
              </w:rPr>
              <w:t>Importuri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5AA87A61"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mil.USD</w:t>
            </w:r>
            <w:proofErr w:type="spellEnd"/>
          </w:p>
        </w:tc>
        <w:tc>
          <w:tcPr>
            <w:tcW w:w="812" w:type="dxa"/>
            <w:tcBorders>
              <w:top w:val="nil"/>
              <w:left w:val="nil"/>
              <w:bottom w:val="single" w:sz="4" w:space="0" w:color="auto"/>
              <w:right w:val="single" w:sz="4" w:space="0" w:color="auto"/>
            </w:tcBorders>
            <w:shd w:val="clear" w:color="auto" w:fill="auto"/>
            <w:vAlign w:val="bottom"/>
            <w:hideMark/>
          </w:tcPr>
          <w:p w14:paraId="0C6BB262" w14:textId="77777777" w:rsidR="005808AD" w:rsidRPr="00312485" w:rsidRDefault="005808AD" w:rsidP="005808AD">
            <w:pPr>
              <w:ind w:firstLine="0"/>
              <w:jc w:val="center"/>
              <w:rPr>
                <w:b/>
                <w:sz w:val="21"/>
                <w:szCs w:val="21"/>
                <w:lang w:val="ro-MD" w:eastAsia="ru-RU"/>
              </w:rPr>
            </w:pPr>
            <w:r w:rsidRPr="00312485">
              <w:rPr>
                <w:sz w:val="21"/>
                <w:szCs w:val="21"/>
                <w:lang w:val="ro-MD"/>
              </w:rPr>
              <w:t>9219</w:t>
            </w:r>
          </w:p>
        </w:tc>
        <w:tc>
          <w:tcPr>
            <w:tcW w:w="946" w:type="dxa"/>
            <w:tcBorders>
              <w:top w:val="nil"/>
              <w:left w:val="nil"/>
              <w:bottom w:val="single" w:sz="4" w:space="0" w:color="auto"/>
              <w:right w:val="single" w:sz="4" w:space="0" w:color="auto"/>
            </w:tcBorders>
            <w:shd w:val="clear" w:color="auto" w:fill="auto"/>
            <w:vAlign w:val="bottom"/>
            <w:hideMark/>
          </w:tcPr>
          <w:p w14:paraId="1AA71699" w14:textId="77777777" w:rsidR="005808AD" w:rsidRPr="00312485" w:rsidRDefault="005808AD" w:rsidP="005808AD">
            <w:pPr>
              <w:ind w:firstLine="0"/>
              <w:jc w:val="center"/>
              <w:rPr>
                <w:b/>
                <w:sz w:val="21"/>
                <w:szCs w:val="21"/>
                <w:lang w:val="ro-MD" w:eastAsia="ru-RU"/>
              </w:rPr>
            </w:pPr>
            <w:r w:rsidRPr="00312485">
              <w:rPr>
                <w:sz w:val="21"/>
                <w:szCs w:val="21"/>
                <w:lang w:val="ro-MD"/>
              </w:rPr>
              <w:t>8676</w:t>
            </w:r>
          </w:p>
        </w:tc>
        <w:tc>
          <w:tcPr>
            <w:tcW w:w="845" w:type="dxa"/>
            <w:tcBorders>
              <w:top w:val="nil"/>
              <w:left w:val="nil"/>
              <w:bottom w:val="single" w:sz="4" w:space="0" w:color="auto"/>
              <w:right w:val="single" w:sz="12" w:space="0" w:color="auto"/>
            </w:tcBorders>
            <w:shd w:val="clear" w:color="auto" w:fill="auto"/>
            <w:vAlign w:val="bottom"/>
            <w:hideMark/>
          </w:tcPr>
          <w:p w14:paraId="171A9984" w14:textId="77777777" w:rsidR="005808AD" w:rsidRPr="00312485" w:rsidRDefault="005808AD" w:rsidP="005808AD">
            <w:pPr>
              <w:ind w:firstLine="0"/>
              <w:jc w:val="center"/>
              <w:rPr>
                <w:b/>
                <w:sz w:val="21"/>
                <w:szCs w:val="21"/>
                <w:lang w:val="ro-MD" w:eastAsia="ru-RU"/>
              </w:rPr>
            </w:pPr>
            <w:r w:rsidRPr="00312485">
              <w:rPr>
                <w:sz w:val="21"/>
                <w:szCs w:val="21"/>
                <w:lang w:val="ro-MD"/>
              </w:rPr>
              <w:t>9065</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72801DB0" w14:textId="77777777" w:rsidR="005808AD" w:rsidRPr="00312485" w:rsidRDefault="005808AD" w:rsidP="005808AD">
            <w:pPr>
              <w:ind w:firstLine="0"/>
              <w:jc w:val="center"/>
              <w:rPr>
                <w:b/>
                <w:sz w:val="21"/>
                <w:szCs w:val="21"/>
                <w:lang w:val="ro-MD" w:eastAsia="ru-RU"/>
              </w:rPr>
            </w:pPr>
            <w:r w:rsidRPr="00312485">
              <w:rPr>
                <w:sz w:val="21"/>
                <w:szCs w:val="21"/>
                <w:lang w:val="ro-MD"/>
              </w:rPr>
              <w:t>9370</w:t>
            </w:r>
          </w:p>
        </w:tc>
        <w:tc>
          <w:tcPr>
            <w:tcW w:w="811" w:type="dxa"/>
            <w:tcBorders>
              <w:top w:val="nil"/>
              <w:left w:val="nil"/>
              <w:bottom w:val="single" w:sz="4" w:space="0" w:color="auto"/>
              <w:right w:val="single" w:sz="4" w:space="0" w:color="auto"/>
            </w:tcBorders>
            <w:shd w:val="clear" w:color="auto" w:fill="FFFFFF"/>
            <w:vAlign w:val="bottom"/>
            <w:hideMark/>
          </w:tcPr>
          <w:p w14:paraId="37FFE6BE" w14:textId="77777777" w:rsidR="005808AD" w:rsidRPr="00312485" w:rsidRDefault="005808AD" w:rsidP="005808AD">
            <w:pPr>
              <w:ind w:firstLine="0"/>
              <w:jc w:val="center"/>
              <w:rPr>
                <w:b/>
                <w:sz w:val="21"/>
                <w:szCs w:val="21"/>
                <w:lang w:val="ro-MD" w:eastAsia="ru-RU"/>
              </w:rPr>
            </w:pPr>
            <w:r w:rsidRPr="00312485">
              <w:rPr>
                <w:sz w:val="21"/>
                <w:szCs w:val="21"/>
                <w:lang w:val="ro-MD"/>
              </w:rPr>
              <w:t>9930</w:t>
            </w:r>
          </w:p>
        </w:tc>
        <w:tc>
          <w:tcPr>
            <w:tcW w:w="812" w:type="dxa"/>
            <w:tcBorders>
              <w:top w:val="nil"/>
              <w:left w:val="nil"/>
              <w:bottom w:val="single" w:sz="4" w:space="0" w:color="auto"/>
              <w:right w:val="single" w:sz="4" w:space="0" w:color="auto"/>
            </w:tcBorders>
            <w:shd w:val="clear" w:color="auto" w:fill="FFFFFF"/>
            <w:noWrap/>
            <w:vAlign w:val="bottom"/>
            <w:hideMark/>
          </w:tcPr>
          <w:p w14:paraId="6F43DFF6" w14:textId="77777777" w:rsidR="005808AD" w:rsidRPr="00312485" w:rsidRDefault="005808AD" w:rsidP="005808AD">
            <w:pPr>
              <w:ind w:firstLine="0"/>
              <w:jc w:val="center"/>
              <w:rPr>
                <w:b/>
                <w:sz w:val="21"/>
                <w:szCs w:val="21"/>
                <w:lang w:val="ro-MD" w:eastAsia="ru-RU"/>
              </w:rPr>
            </w:pPr>
            <w:r w:rsidRPr="00312485">
              <w:rPr>
                <w:sz w:val="21"/>
                <w:szCs w:val="21"/>
                <w:lang w:val="ro-MD"/>
              </w:rPr>
              <w:t>10450</w:t>
            </w:r>
          </w:p>
        </w:tc>
        <w:tc>
          <w:tcPr>
            <w:tcW w:w="811" w:type="dxa"/>
            <w:tcBorders>
              <w:top w:val="nil"/>
              <w:left w:val="nil"/>
              <w:bottom w:val="single" w:sz="4" w:space="0" w:color="auto"/>
              <w:right w:val="single" w:sz="4" w:space="0" w:color="auto"/>
            </w:tcBorders>
            <w:shd w:val="clear" w:color="auto" w:fill="FFFFFF"/>
            <w:vAlign w:val="bottom"/>
            <w:hideMark/>
          </w:tcPr>
          <w:p w14:paraId="19F3D183" w14:textId="77777777" w:rsidR="005808AD" w:rsidRPr="00312485" w:rsidRDefault="005808AD" w:rsidP="005808AD">
            <w:pPr>
              <w:ind w:firstLine="0"/>
              <w:jc w:val="center"/>
              <w:rPr>
                <w:b/>
                <w:sz w:val="21"/>
                <w:szCs w:val="21"/>
                <w:lang w:val="ro-MD" w:eastAsia="ru-RU"/>
              </w:rPr>
            </w:pPr>
            <w:r w:rsidRPr="00312485">
              <w:rPr>
                <w:sz w:val="21"/>
                <w:szCs w:val="21"/>
                <w:lang w:val="ro-MD"/>
              </w:rPr>
              <w:t>10900</w:t>
            </w:r>
          </w:p>
        </w:tc>
      </w:tr>
      <w:tr w:rsidR="005808AD" w:rsidRPr="00312485" w14:paraId="514F97B1"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4C6453A"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față de anul precedent</w:t>
            </w:r>
          </w:p>
        </w:tc>
        <w:tc>
          <w:tcPr>
            <w:tcW w:w="1252" w:type="dxa"/>
            <w:tcBorders>
              <w:top w:val="single" w:sz="4" w:space="0" w:color="auto"/>
              <w:left w:val="single" w:sz="4" w:space="0" w:color="auto"/>
              <w:bottom w:val="single" w:sz="4" w:space="0" w:color="auto"/>
              <w:right w:val="single" w:sz="4" w:space="0" w:color="auto"/>
            </w:tcBorders>
            <w:vAlign w:val="bottom"/>
            <w:hideMark/>
          </w:tcPr>
          <w:p w14:paraId="155A897B"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4D58EB21" w14:textId="77777777" w:rsidR="005808AD" w:rsidRPr="00312485" w:rsidRDefault="005808AD" w:rsidP="005808AD">
            <w:pPr>
              <w:ind w:firstLine="0"/>
              <w:jc w:val="center"/>
              <w:rPr>
                <w:b/>
                <w:sz w:val="21"/>
                <w:szCs w:val="21"/>
                <w:lang w:val="ro-MD" w:eastAsia="ru-RU"/>
              </w:rPr>
            </w:pPr>
            <w:r w:rsidRPr="00312485">
              <w:rPr>
                <w:sz w:val="21"/>
                <w:szCs w:val="21"/>
                <w:lang w:val="ro-MD"/>
              </w:rPr>
              <w:t>128.5</w:t>
            </w:r>
          </w:p>
        </w:tc>
        <w:tc>
          <w:tcPr>
            <w:tcW w:w="946" w:type="dxa"/>
            <w:tcBorders>
              <w:top w:val="nil"/>
              <w:left w:val="nil"/>
              <w:bottom w:val="single" w:sz="4" w:space="0" w:color="auto"/>
              <w:right w:val="single" w:sz="4" w:space="0" w:color="auto"/>
            </w:tcBorders>
            <w:shd w:val="clear" w:color="auto" w:fill="auto"/>
            <w:vAlign w:val="bottom"/>
            <w:hideMark/>
          </w:tcPr>
          <w:p w14:paraId="67413AB6" w14:textId="77777777" w:rsidR="005808AD" w:rsidRPr="00312485" w:rsidRDefault="005808AD" w:rsidP="005808AD">
            <w:pPr>
              <w:ind w:firstLine="0"/>
              <w:jc w:val="center"/>
              <w:rPr>
                <w:b/>
                <w:sz w:val="21"/>
                <w:szCs w:val="21"/>
                <w:lang w:val="ro-MD" w:eastAsia="ru-RU"/>
              </w:rPr>
            </w:pPr>
            <w:r w:rsidRPr="00312485">
              <w:rPr>
                <w:sz w:val="21"/>
                <w:szCs w:val="21"/>
                <w:lang w:val="ro-MD"/>
              </w:rPr>
              <w:t>94.1</w:t>
            </w:r>
          </w:p>
        </w:tc>
        <w:tc>
          <w:tcPr>
            <w:tcW w:w="845" w:type="dxa"/>
            <w:tcBorders>
              <w:top w:val="nil"/>
              <w:left w:val="nil"/>
              <w:bottom w:val="single" w:sz="4" w:space="0" w:color="auto"/>
              <w:right w:val="single" w:sz="12" w:space="0" w:color="auto"/>
            </w:tcBorders>
            <w:shd w:val="clear" w:color="auto" w:fill="auto"/>
            <w:vAlign w:val="bottom"/>
            <w:hideMark/>
          </w:tcPr>
          <w:p w14:paraId="4C763D45" w14:textId="77777777" w:rsidR="005808AD" w:rsidRPr="00312485" w:rsidRDefault="005808AD" w:rsidP="005808AD">
            <w:pPr>
              <w:ind w:firstLine="0"/>
              <w:jc w:val="center"/>
              <w:rPr>
                <w:b/>
                <w:sz w:val="21"/>
                <w:szCs w:val="21"/>
                <w:lang w:val="ro-MD" w:eastAsia="ru-RU"/>
              </w:rPr>
            </w:pPr>
            <w:r w:rsidRPr="00312485">
              <w:rPr>
                <w:sz w:val="21"/>
                <w:szCs w:val="21"/>
                <w:lang w:val="ro-MD"/>
              </w:rPr>
              <w:t>104.5</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6F196225" w14:textId="77777777" w:rsidR="005808AD" w:rsidRPr="00312485" w:rsidRDefault="005808AD" w:rsidP="005808AD">
            <w:pPr>
              <w:ind w:firstLine="0"/>
              <w:jc w:val="center"/>
              <w:rPr>
                <w:b/>
                <w:sz w:val="21"/>
                <w:szCs w:val="21"/>
                <w:lang w:val="ro-MD" w:eastAsia="ru-RU"/>
              </w:rPr>
            </w:pPr>
            <w:r w:rsidRPr="00312485">
              <w:rPr>
                <w:sz w:val="21"/>
                <w:szCs w:val="21"/>
                <w:lang w:val="ro-MD"/>
              </w:rPr>
              <w:t>103.4</w:t>
            </w:r>
          </w:p>
        </w:tc>
        <w:tc>
          <w:tcPr>
            <w:tcW w:w="811" w:type="dxa"/>
            <w:tcBorders>
              <w:top w:val="nil"/>
              <w:left w:val="nil"/>
              <w:bottom w:val="single" w:sz="4" w:space="0" w:color="auto"/>
              <w:right w:val="single" w:sz="4" w:space="0" w:color="auto"/>
            </w:tcBorders>
            <w:shd w:val="clear" w:color="auto" w:fill="FFFFFF"/>
            <w:vAlign w:val="bottom"/>
            <w:hideMark/>
          </w:tcPr>
          <w:p w14:paraId="3BD71CBA" w14:textId="77777777" w:rsidR="005808AD" w:rsidRPr="00312485" w:rsidRDefault="005808AD" w:rsidP="005808AD">
            <w:pPr>
              <w:ind w:firstLine="0"/>
              <w:jc w:val="center"/>
              <w:rPr>
                <w:b/>
                <w:sz w:val="21"/>
                <w:szCs w:val="21"/>
                <w:lang w:val="ro-MD" w:eastAsia="ru-RU"/>
              </w:rPr>
            </w:pPr>
            <w:r w:rsidRPr="00312485">
              <w:rPr>
                <w:sz w:val="21"/>
                <w:szCs w:val="21"/>
                <w:lang w:val="ro-MD"/>
              </w:rPr>
              <w:t>106.0</w:t>
            </w:r>
          </w:p>
        </w:tc>
        <w:tc>
          <w:tcPr>
            <w:tcW w:w="812" w:type="dxa"/>
            <w:tcBorders>
              <w:top w:val="nil"/>
              <w:left w:val="nil"/>
              <w:bottom w:val="single" w:sz="4" w:space="0" w:color="auto"/>
              <w:right w:val="single" w:sz="4" w:space="0" w:color="auto"/>
            </w:tcBorders>
            <w:shd w:val="clear" w:color="auto" w:fill="FFFFFF"/>
            <w:noWrap/>
            <w:vAlign w:val="bottom"/>
            <w:hideMark/>
          </w:tcPr>
          <w:p w14:paraId="4675EC01" w14:textId="77777777" w:rsidR="005808AD" w:rsidRPr="00312485" w:rsidRDefault="005808AD" w:rsidP="005808AD">
            <w:pPr>
              <w:ind w:firstLine="0"/>
              <w:jc w:val="center"/>
              <w:rPr>
                <w:b/>
                <w:sz w:val="21"/>
                <w:szCs w:val="21"/>
                <w:lang w:val="ro-MD" w:eastAsia="ru-RU"/>
              </w:rPr>
            </w:pPr>
            <w:r w:rsidRPr="00312485">
              <w:rPr>
                <w:sz w:val="21"/>
                <w:szCs w:val="21"/>
                <w:lang w:val="ro-MD"/>
              </w:rPr>
              <w:t>105.2</w:t>
            </w:r>
          </w:p>
        </w:tc>
        <w:tc>
          <w:tcPr>
            <w:tcW w:w="811" w:type="dxa"/>
            <w:tcBorders>
              <w:top w:val="nil"/>
              <w:left w:val="nil"/>
              <w:bottom w:val="single" w:sz="4" w:space="0" w:color="auto"/>
              <w:right w:val="single" w:sz="4" w:space="0" w:color="auto"/>
            </w:tcBorders>
            <w:shd w:val="clear" w:color="auto" w:fill="FFFFFF"/>
            <w:vAlign w:val="bottom"/>
            <w:hideMark/>
          </w:tcPr>
          <w:p w14:paraId="34EBB370" w14:textId="77777777" w:rsidR="005808AD" w:rsidRPr="00312485" w:rsidRDefault="005808AD" w:rsidP="005808AD">
            <w:pPr>
              <w:ind w:firstLine="0"/>
              <w:jc w:val="center"/>
              <w:rPr>
                <w:b/>
                <w:sz w:val="21"/>
                <w:szCs w:val="21"/>
                <w:lang w:val="ro-MD" w:eastAsia="ru-RU"/>
              </w:rPr>
            </w:pPr>
            <w:r w:rsidRPr="00312485">
              <w:rPr>
                <w:sz w:val="21"/>
                <w:szCs w:val="21"/>
                <w:lang w:val="ro-MD"/>
              </w:rPr>
              <w:t>104.3</w:t>
            </w:r>
          </w:p>
        </w:tc>
      </w:tr>
      <w:tr w:rsidR="005808AD" w:rsidRPr="00312485" w14:paraId="4B3A13EB" w14:textId="77777777" w:rsidTr="005808AD">
        <w:trPr>
          <w:trHeight w:val="336"/>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757B507E" w14:textId="77777777" w:rsidR="005808AD" w:rsidRPr="00312485" w:rsidRDefault="005808AD" w:rsidP="005808AD">
            <w:pPr>
              <w:ind w:firstLine="0"/>
              <w:rPr>
                <w:b/>
                <w:bCs/>
                <w:sz w:val="21"/>
                <w:szCs w:val="21"/>
                <w:lang w:val="ro-MD" w:eastAsia="ru-RU"/>
              </w:rPr>
            </w:pPr>
            <w:r w:rsidRPr="00312485">
              <w:rPr>
                <w:b/>
                <w:bCs/>
                <w:sz w:val="21"/>
                <w:szCs w:val="21"/>
                <w:lang w:val="ro-MD" w:eastAsia="ru-RU"/>
              </w:rPr>
              <w:t>Soldul balanței comerciale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16CBE0E5"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mil.USD</w:t>
            </w:r>
            <w:proofErr w:type="spellEnd"/>
          </w:p>
        </w:tc>
        <w:tc>
          <w:tcPr>
            <w:tcW w:w="812" w:type="dxa"/>
            <w:tcBorders>
              <w:top w:val="nil"/>
              <w:left w:val="nil"/>
              <w:bottom w:val="single" w:sz="4" w:space="0" w:color="auto"/>
              <w:right w:val="single" w:sz="4" w:space="0" w:color="auto"/>
            </w:tcBorders>
            <w:shd w:val="clear" w:color="auto" w:fill="auto"/>
            <w:vAlign w:val="bottom"/>
            <w:hideMark/>
          </w:tcPr>
          <w:p w14:paraId="267F730E" w14:textId="77777777" w:rsidR="005808AD" w:rsidRPr="00312485" w:rsidRDefault="005808AD" w:rsidP="005808AD">
            <w:pPr>
              <w:ind w:firstLine="0"/>
              <w:jc w:val="center"/>
              <w:rPr>
                <w:b/>
                <w:sz w:val="21"/>
                <w:szCs w:val="21"/>
                <w:lang w:val="ro-MD" w:eastAsia="ru-RU"/>
              </w:rPr>
            </w:pPr>
            <w:r w:rsidRPr="00312485">
              <w:rPr>
                <w:sz w:val="21"/>
                <w:szCs w:val="21"/>
                <w:lang w:val="ro-MD"/>
              </w:rPr>
              <w:t>-4887</w:t>
            </w:r>
          </w:p>
        </w:tc>
        <w:tc>
          <w:tcPr>
            <w:tcW w:w="946" w:type="dxa"/>
            <w:tcBorders>
              <w:top w:val="nil"/>
              <w:left w:val="nil"/>
              <w:bottom w:val="single" w:sz="4" w:space="0" w:color="auto"/>
              <w:right w:val="single" w:sz="4" w:space="0" w:color="auto"/>
            </w:tcBorders>
            <w:shd w:val="clear" w:color="auto" w:fill="auto"/>
            <w:vAlign w:val="bottom"/>
            <w:hideMark/>
          </w:tcPr>
          <w:p w14:paraId="026DACF7" w14:textId="77777777" w:rsidR="005808AD" w:rsidRPr="00312485" w:rsidRDefault="005808AD" w:rsidP="005808AD">
            <w:pPr>
              <w:ind w:firstLine="0"/>
              <w:jc w:val="center"/>
              <w:rPr>
                <w:b/>
                <w:sz w:val="21"/>
                <w:szCs w:val="21"/>
                <w:lang w:val="ro-MD" w:eastAsia="ru-RU"/>
              </w:rPr>
            </w:pPr>
            <w:r w:rsidRPr="00312485">
              <w:rPr>
                <w:sz w:val="21"/>
                <w:szCs w:val="21"/>
                <w:lang w:val="ro-MD"/>
              </w:rPr>
              <w:t>-4627</w:t>
            </w:r>
          </w:p>
        </w:tc>
        <w:tc>
          <w:tcPr>
            <w:tcW w:w="845" w:type="dxa"/>
            <w:tcBorders>
              <w:top w:val="nil"/>
              <w:left w:val="nil"/>
              <w:bottom w:val="single" w:sz="4" w:space="0" w:color="auto"/>
              <w:right w:val="single" w:sz="12" w:space="0" w:color="auto"/>
            </w:tcBorders>
            <w:shd w:val="clear" w:color="auto" w:fill="auto"/>
            <w:vAlign w:val="bottom"/>
            <w:hideMark/>
          </w:tcPr>
          <w:p w14:paraId="44914125" w14:textId="77777777" w:rsidR="005808AD" w:rsidRPr="00312485" w:rsidRDefault="005808AD" w:rsidP="005808AD">
            <w:pPr>
              <w:ind w:firstLine="0"/>
              <w:jc w:val="center"/>
              <w:rPr>
                <w:b/>
                <w:sz w:val="21"/>
                <w:szCs w:val="21"/>
                <w:lang w:val="ro-MD" w:eastAsia="ru-RU"/>
              </w:rPr>
            </w:pPr>
            <w:r w:rsidRPr="00312485">
              <w:rPr>
                <w:sz w:val="21"/>
                <w:szCs w:val="21"/>
                <w:lang w:val="ro-MD"/>
              </w:rPr>
              <w:t>-5510</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137CF1E0" w14:textId="77777777" w:rsidR="005808AD" w:rsidRPr="00312485" w:rsidRDefault="005808AD" w:rsidP="005808AD">
            <w:pPr>
              <w:ind w:firstLine="0"/>
              <w:jc w:val="center"/>
              <w:rPr>
                <w:b/>
                <w:sz w:val="21"/>
                <w:szCs w:val="21"/>
                <w:lang w:val="ro-MD" w:eastAsia="ru-RU"/>
              </w:rPr>
            </w:pPr>
            <w:r w:rsidRPr="00312485">
              <w:rPr>
                <w:sz w:val="21"/>
                <w:szCs w:val="21"/>
                <w:lang w:val="ro-MD"/>
              </w:rPr>
              <w:t>-5520</w:t>
            </w:r>
          </w:p>
        </w:tc>
        <w:tc>
          <w:tcPr>
            <w:tcW w:w="811" w:type="dxa"/>
            <w:tcBorders>
              <w:top w:val="nil"/>
              <w:left w:val="nil"/>
              <w:bottom w:val="single" w:sz="4" w:space="0" w:color="auto"/>
              <w:right w:val="single" w:sz="4" w:space="0" w:color="auto"/>
            </w:tcBorders>
            <w:shd w:val="clear" w:color="auto" w:fill="FFFFFF"/>
            <w:vAlign w:val="bottom"/>
            <w:hideMark/>
          </w:tcPr>
          <w:p w14:paraId="3B57E927" w14:textId="77777777" w:rsidR="005808AD" w:rsidRPr="00312485" w:rsidRDefault="005808AD" w:rsidP="005808AD">
            <w:pPr>
              <w:ind w:firstLine="0"/>
              <w:jc w:val="center"/>
              <w:rPr>
                <w:b/>
                <w:sz w:val="21"/>
                <w:szCs w:val="21"/>
                <w:lang w:val="ro-MD" w:eastAsia="ru-RU"/>
              </w:rPr>
            </w:pPr>
            <w:r w:rsidRPr="00312485">
              <w:rPr>
                <w:sz w:val="21"/>
                <w:szCs w:val="21"/>
                <w:lang w:val="ro-MD"/>
              </w:rPr>
              <w:t>-5780</w:t>
            </w:r>
          </w:p>
        </w:tc>
        <w:tc>
          <w:tcPr>
            <w:tcW w:w="812" w:type="dxa"/>
            <w:tcBorders>
              <w:top w:val="nil"/>
              <w:left w:val="nil"/>
              <w:bottom w:val="single" w:sz="4" w:space="0" w:color="auto"/>
              <w:right w:val="single" w:sz="4" w:space="0" w:color="auto"/>
            </w:tcBorders>
            <w:shd w:val="clear" w:color="auto" w:fill="FFFFFF"/>
            <w:noWrap/>
            <w:vAlign w:val="bottom"/>
            <w:hideMark/>
          </w:tcPr>
          <w:p w14:paraId="369861A6" w14:textId="77777777" w:rsidR="005808AD" w:rsidRPr="00312485" w:rsidRDefault="005808AD" w:rsidP="005808AD">
            <w:pPr>
              <w:ind w:firstLine="0"/>
              <w:jc w:val="center"/>
              <w:rPr>
                <w:b/>
                <w:sz w:val="21"/>
                <w:szCs w:val="21"/>
                <w:lang w:val="ro-MD" w:eastAsia="ru-RU"/>
              </w:rPr>
            </w:pPr>
            <w:r w:rsidRPr="00312485">
              <w:rPr>
                <w:sz w:val="21"/>
                <w:szCs w:val="21"/>
                <w:lang w:val="ro-MD"/>
              </w:rPr>
              <w:t>-6030</w:t>
            </w:r>
          </w:p>
        </w:tc>
        <w:tc>
          <w:tcPr>
            <w:tcW w:w="811" w:type="dxa"/>
            <w:tcBorders>
              <w:top w:val="nil"/>
              <w:left w:val="nil"/>
              <w:bottom w:val="single" w:sz="4" w:space="0" w:color="auto"/>
              <w:right w:val="single" w:sz="4" w:space="0" w:color="auto"/>
            </w:tcBorders>
            <w:shd w:val="clear" w:color="auto" w:fill="FFFFFF"/>
            <w:vAlign w:val="bottom"/>
            <w:hideMark/>
          </w:tcPr>
          <w:p w14:paraId="0EE6E70A" w14:textId="77777777" w:rsidR="005808AD" w:rsidRPr="00312485" w:rsidRDefault="005808AD" w:rsidP="005808AD">
            <w:pPr>
              <w:ind w:firstLine="0"/>
              <w:jc w:val="center"/>
              <w:rPr>
                <w:b/>
                <w:sz w:val="21"/>
                <w:szCs w:val="21"/>
                <w:lang w:val="ro-MD" w:eastAsia="ru-RU"/>
              </w:rPr>
            </w:pPr>
            <w:r w:rsidRPr="00312485">
              <w:rPr>
                <w:sz w:val="21"/>
                <w:szCs w:val="21"/>
                <w:lang w:val="ro-MD"/>
              </w:rPr>
              <w:t>-6220</w:t>
            </w:r>
          </w:p>
        </w:tc>
      </w:tr>
      <w:tr w:rsidR="005808AD" w:rsidRPr="00312485" w14:paraId="7366EF7C"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E1AFB6F" w14:textId="77777777" w:rsidR="005808AD" w:rsidRPr="00312485" w:rsidRDefault="005808AD" w:rsidP="005808AD">
            <w:pPr>
              <w:ind w:firstLine="0"/>
              <w:rPr>
                <w:b/>
                <w:bCs/>
                <w:sz w:val="21"/>
                <w:szCs w:val="21"/>
                <w:lang w:val="ro-MD" w:eastAsia="ru-RU"/>
              </w:rPr>
            </w:pPr>
            <w:r w:rsidRPr="00312485">
              <w:rPr>
                <w:b/>
                <w:bCs/>
                <w:sz w:val="21"/>
                <w:szCs w:val="21"/>
                <w:lang w:val="ro-MD" w:eastAsia="ru-RU"/>
              </w:rPr>
              <w:t>Producția industrială</w:t>
            </w:r>
            <w:r w:rsidRPr="00312485">
              <w:rPr>
                <w:b/>
                <w:sz w:val="21"/>
                <w:szCs w:val="21"/>
                <w:lang w:val="ro-MD" w:eastAsia="ru-RU"/>
              </w:rPr>
              <w:t xml:space="preserve"> în prețuri curente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3C2C9BBB"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mild</w:t>
            </w:r>
            <w:proofErr w:type="spellEnd"/>
            <w:r w:rsidRPr="00521788">
              <w:rPr>
                <w:sz w:val="21"/>
                <w:szCs w:val="21"/>
                <w:lang w:val="ro-MD" w:eastAsia="ru-RU"/>
              </w:rPr>
              <w:t>. lei</w:t>
            </w:r>
          </w:p>
        </w:tc>
        <w:tc>
          <w:tcPr>
            <w:tcW w:w="812" w:type="dxa"/>
            <w:tcBorders>
              <w:top w:val="nil"/>
              <w:left w:val="nil"/>
              <w:bottom w:val="single" w:sz="4" w:space="0" w:color="auto"/>
              <w:right w:val="single" w:sz="4" w:space="0" w:color="auto"/>
            </w:tcBorders>
            <w:shd w:val="clear" w:color="auto" w:fill="auto"/>
            <w:vAlign w:val="bottom"/>
            <w:hideMark/>
          </w:tcPr>
          <w:p w14:paraId="165F1693" w14:textId="77777777" w:rsidR="005808AD" w:rsidRPr="00312485" w:rsidRDefault="005808AD" w:rsidP="005808AD">
            <w:pPr>
              <w:ind w:firstLine="0"/>
              <w:jc w:val="center"/>
              <w:rPr>
                <w:b/>
                <w:sz w:val="21"/>
                <w:szCs w:val="21"/>
                <w:lang w:val="ro-MD" w:eastAsia="ru-RU"/>
              </w:rPr>
            </w:pPr>
            <w:r w:rsidRPr="00312485">
              <w:rPr>
                <w:sz w:val="21"/>
                <w:szCs w:val="21"/>
                <w:lang w:val="ro-MD"/>
              </w:rPr>
              <w:t>85.5</w:t>
            </w:r>
          </w:p>
        </w:tc>
        <w:tc>
          <w:tcPr>
            <w:tcW w:w="946" w:type="dxa"/>
            <w:tcBorders>
              <w:top w:val="nil"/>
              <w:left w:val="nil"/>
              <w:bottom w:val="single" w:sz="4" w:space="0" w:color="auto"/>
              <w:right w:val="single" w:sz="4" w:space="0" w:color="auto"/>
            </w:tcBorders>
            <w:shd w:val="clear" w:color="auto" w:fill="auto"/>
            <w:vAlign w:val="bottom"/>
            <w:hideMark/>
          </w:tcPr>
          <w:p w14:paraId="58F1BD5F" w14:textId="77777777" w:rsidR="005808AD" w:rsidRPr="00312485" w:rsidRDefault="005808AD" w:rsidP="005808AD">
            <w:pPr>
              <w:ind w:firstLine="0"/>
              <w:jc w:val="center"/>
              <w:rPr>
                <w:b/>
                <w:sz w:val="21"/>
                <w:szCs w:val="21"/>
                <w:lang w:val="ro-MD" w:eastAsia="ru-RU"/>
              </w:rPr>
            </w:pPr>
            <w:r w:rsidRPr="00312485">
              <w:rPr>
                <w:sz w:val="21"/>
                <w:szCs w:val="21"/>
                <w:lang w:val="ro-MD"/>
              </w:rPr>
              <w:t>87.6</w:t>
            </w:r>
          </w:p>
        </w:tc>
        <w:tc>
          <w:tcPr>
            <w:tcW w:w="845" w:type="dxa"/>
            <w:tcBorders>
              <w:top w:val="nil"/>
              <w:left w:val="nil"/>
              <w:bottom w:val="single" w:sz="4" w:space="0" w:color="auto"/>
              <w:right w:val="single" w:sz="12" w:space="0" w:color="auto"/>
            </w:tcBorders>
            <w:shd w:val="clear" w:color="auto" w:fill="auto"/>
            <w:vAlign w:val="bottom"/>
            <w:hideMark/>
          </w:tcPr>
          <w:p w14:paraId="4CFAD9A6" w14:textId="77777777" w:rsidR="005808AD" w:rsidRPr="00312485" w:rsidRDefault="005808AD" w:rsidP="005808AD">
            <w:pPr>
              <w:ind w:firstLine="0"/>
              <w:jc w:val="center"/>
              <w:rPr>
                <w:b/>
                <w:sz w:val="21"/>
                <w:szCs w:val="21"/>
                <w:vertAlign w:val="superscript"/>
                <w:lang w:val="ro-MD" w:eastAsia="ru-RU"/>
              </w:rPr>
            </w:pPr>
            <w:r w:rsidRPr="00312485">
              <w:rPr>
                <w:sz w:val="21"/>
                <w:szCs w:val="21"/>
                <w:lang w:val="ro-MD"/>
              </w:rPr>
              <w:t>85.2</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4E7CA3F9" w14:textId="77777777" w:rsidR="005808AD" w:rsidRPr="00312485" w:rsidRDefault="005808AD" w:rsidP="005808AD">
            <w:pPr>
              <w:ind w:firstLine="0"/>
              <w:jc w:val="center"/>
              <w:rPr>
                <w:b/>
                <w:sz w:val="21"/>
                <w:szCs w:val="21"/>
                <w:lang w:val="ro-MD" w:eastAsia="ru-RU"/>
              </w:rPr>
            </w:pPr>
            <w:r w:rsidRPr="00312485">
              <w:rPr>
                <w:sz w:val="21"/>
                <w:szCs w:val="21"/>
                <w:lang w:val="ro-MD"/>
              </w:rPr>
              <w:t>96.6</w:t>
            </w:r>
          </w:p>
        </w:tc>
        <w:tc>
          <w:tcPr>
            <w:tcW w:w="811" w:type="dxa"/>
            <w:tcBorders>
              <w:top w:val="nil"/>
              <w:left w:val="nil"/>
              <w:bottom w:val="single" w:sz="4" w:space="0" w:color="auto"/>
              <w:right w:val="single" w:sz="4" w:space="0" w:color="auto"/>
            </w:tcBorders>
            <w:shd w:val="clear" w:color="auto" w:fill="FFFFFF"/>
            <w:vAlign w:val="bottom"/>
            <w:hideMark/>
          </w:tcPr>
          <w:p w14:paraId="1EAB6C2A" w14:textId="77777777" w:rsidR="005808AD" w:rsidRPr="00312485" w:rsidRDefault="005808AD" w:rsidP="005808AD">
            <w:pPr>
              <w:ind w:firstLine="0"/>
              <w:jc w:val="center"/>
              <w:rPr>
                <w:b/>
                <w:sz w:val="21"/>
                <w:szCs w:val="21"/>
                <w:lang w:val="ro-MD" w:eastAsia="ru-RU"/>
              </w:rPr>
            </w:pPr>
            <w:r w:rsidRPr="00312485">
              <w:rPr>
                <w:sz w:val="21"/>
                <w:szCs w:val="21"/>
                <w:lang w:val="ro-MD"/>
              </w:rPr>
              <w:t>105.2</w:t>
            </w:r>
          </w:p>
        </w:tc>
        <w:tc>
          <w:tcPr>
            <w:tcW w:w="812" w:type="dxa"/>
            <w:tcBorders>
              <w:top w:val="nil"/>
              <w:left w:val="nil"/>
              <w:bottom w:val="single" w:sz="4" w:space="0" w:color="auto"/>
              <w:right w:val="single" w:sz="4" w:space="0" w:color="auto"/>
            </w:tcBorders>
            <w:shd w:val="clear" w:color="auto" w:fill="FFFFFF"/>
            <w:noWrap/>
            <w:vAlign w:val="bottom"/>
            <w:hideMark/>
          </w:tcPr>
          <w:p w14:paraId="31613F88" w14:textId="77777777" w:rsidR="005808AD" w:rsidRPr="00312485" w:rsidRDefault="005808AD" w:rsidP="005808AD">
            <w:pPr>
              <w:ind w:firstLine="0"/>
              <w:jc w:val="center"/>
              <w:rPr>
                <w:b/>
                <w:sz w:val="21"/>
                <w:szCs w:val="21"/>
                <w:lang w:val="ro-MD" w:eastAsia="ru-RU"/>
              </w:rPr>
            </w:pPr>
            <w:r w:rsidRPr="00312485">
              <w:rPr>
                <w:sz w:val="21"/>
                <w:szCs w:val="21"/>
                <w:lang w:val="ro-MD"/>
              </w:rPr>
              <w:t>111.0</w:t>
            </w:r>
          </w:p>
        </w:tc>
        <w:tc>
          <w:tcPr>
            <w:tcW w:w="811" w:type="dxa"/>
            <w:tcBorders>
              <w:top w:val="nil"/>
              <w:left w:val="nil"/>
              <w:bottom w:val="single" w:sz="4" w:space="0" w:color="auto"/>
              <w:right w:val="single" w:sz="4" w:space="0" w:color="auto"/>
            </w:tcBorders>
            <w:shd w:val="clear" w:color="auto" w:fill="FFFFFF"/>
            <w:vAlign w:val="bottom"/>
            <w:hideMark/>
          </w:tcPr>
          <w:p w14:paraId="7ACF07B0" w14:textId="77777777" w:rsidR="005808AD" w:rsidRPr="00312485" w:rsidRDefault="005808AD" w:rsidP="005808AD">
            <w:pPr>
              <w:ind w:firstLine="0"/>
              <w:jc w:val="center"/>
              <w:rPr>
                <w:b/>
                <w:sz w:val="21"/>
                <w:szCs w:val="21"/>
                <w:lang w:val="ro-MD" w:eastAsia="ru-RU"/>
              </w:rPr>
            </w:pPr>
            <w:r w:rsidRPr="00312485">
              <w:rPr>
                <w:sz w:val="21"/>
                <w:szCs w:val="21"/>
                <w:lang w:val="ro-MD"/>
              </w:rPr>
              <w:t>117.2</w:t>
            </w:r>
          </w:p>
        </w:tc>
      </w:tr>
      <w:tr w:rsidR="005808AD" w:rsidRPr="00312485" w14:paraId="5A47C53B"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4EFE4E53" w14:textId="77777777" w:rsidR="005808AD" w:rsidRPr="00312485" w:rsidRDefault="005808AD" w:rsidP="005808AD">
            <w:pPr>
              <w:ind w:firstLine="0"/>
              <w:rPr>
                <w:b/>
                <w:sz w:val="21"/>
                <w:szCs w:val="21"/>
                <w:lang w:val="ro-MD" w:eastAsia="ru-RU"/>
              </w:rPr>
            </w:pPr>
            <w:r w:rsidRPr="00312485">
              <w:rPr>
                <w:b/>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D0F9DBF" w14:textId="77777777" w:rsidR="005808AD" w:rsidRPr="00521788" w:rsidRDefault="005808AD" w:rsidP="005808AD">
            <w:pPr>
              <w:ind w:firstLine="0"/>
              <w:jc w:val="center"/>
              <w:rPr>
                <w:sz w:val="21"/>
                <w:szCs w:val="21"/>
                <w:lang w:val="ro-MD" w:eastAsia="ru-RU"/>
              </w:rPr>
            </w:pPr>
            <w:r w:rsidRPr="00521788">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2B2368D4" w14:textId="77777777" w:rsidR="005808AD" w:rsidRPr="00312485" w:rsidRDefault="005808AD" w:rsidP="005808AD">
            <w:pPr>
              <w:ind w:firstLine="0"/>
              <w:jc w:val="center"/>
              <w:rPr>
                <w:b/>
                <w:sz w:val="21"/>
                <w:szCs w:val="21"/>
                <w:lang w:val="ro-MD" w:eastAsia="ru-RU"/>
              </w:rPr>
            </w:pPr>
            <w:r w:rsidRPr="00312485">
              <w:rPr>
                <w:sz w:val="21"/>
                <w:szCs w:val="21"/>
                <w:lang w:val="ro-MD"/>
              </w:rPr>
              <w:t>95.0</w:t>
            </w:r>
          </w:p>
        </w:tc>
        <w:tc>
          <w:tcPr>
            <w:tcW w:w="946" w:type="dxa"/>
            <w:tcBorders>
              <w:top w:val="nil"/>
              <w:left w:val="nil"/>
              <w:bottom w:val="single" w:sz="4" w:space="0" w:color="auto"/>
              <w:right w:val="single" w:sz="4" w:space="0" w:color="auto"/>
            </w:tcBorders>
            <w:shd w:val="clear" w:color="auto" w:fill="auto"/>
            <w:vAlign w:val="bottom"/>
            <w:hideMark/>
          </w:tcPr>
          <w:p w14:paraId="08794896" w14:textId="77777777" w:rsidR="005808AD" w:rsidRPr="00312485" w:rsidRDefault="005808AD" w:rsidP="005808AD">
            <w:pPr>
              <w:ind w:firstLine="0"/>
              <w:jc w:val="center"/>
              <w:rPr>
                <w:b/>
                <w:sz w:val="21"/>
                <w:szCs w:val="21"/>
                <w:lang w:val="ro-MD" w:eastAsia="ru-RU"/>
              </w:rPr>
            </w:pPr>
            <w:r w:rsidRPr="00312485">
              <w:rPr>
                <w:sz w:val="21"/>
                <w:szCs w:val="21"/>
                <w:lang w:val="ro-MD"/>
              </w:rPr>
              <w:t>96.4</w:t>
            </w:r>
          </w:p>
        </w:tc>
        <w:tc>
          <w:tcPr>
            <w:tcW w:w="845" w:type="dxa"/>
            <w:tcBorders>
              <w:top w:val="nil"/>
              <w:left w:val="nil"/>
              <w:bottom w:val="single" w:sz="4" w:space="0" w:color="auto"/>
              <w:right w:val="single" w:sz="12" w:space="0" w:color="auto"/>
            </w:tcBorders>
            <w:shd w:val="clear" w:color="auto" w:fill="auto"/>
            <w:vAlign w:val="bottom"/>
            <w:hideMark/>
          </w:tcPr>
          <w:p w14:paraId="2FE2657B" w14:textId="77777777" w:rsidR="005808AD" w:rsidRPr="00312485" w:rsidRDefault="005808AD" w:rsidP="005808AD">
            <w:pPr>
              <w:ind w:firstLine="0"/>
              <w:jc w:val="center"/>
              <w:rPr>
                <w:b/>
                <w:sz w:val="21"/>
                <w:szCs w:val="21"/>
                <w:lang w:val="ro-MD" w:eastAsia="ru-RU"/>
              </w:rPr>
            </w:pPr>
            <w:r w:rsidRPr="00312485">
              <w:rPr>
                <w:sz w:val="21"/>
                <w:szCs w:val="21"/>
                <w:lang w:val="ro-MD"/>
              </w:rPr>
              <w:t>98.9</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1B5BE1FF" w14:textId="77777777" w:rsidR="005808AD" w:rsidRPr="00312485" w:rsidRDefault="005808AD" w:rsidP="005808AD">
            <w:pPr>
              <w:ind w:firstLine="0"/>
              <w:jc w:val="center"/>
              <w:rPr>
                <w:b/>
                <w:sz w:val="21"/>
                <w:szCs w:val="21"/>
                <w:lang w:val="ro-MD" w:eastAsia="ru-RU"/>
              </w:rPr>
            </w:pPr>
            <w:r w:rsidRPr="00312485">
              <w:rPr>
                <w:sz w:val="21"/>
                <w:szCs w:val="21"/>
                <w:lang w:val="ro-MD"/>
              </w:rPr>
              <w:t>103.0</w:t>
            </w:r>
          </w:p>
        </w:tc>
        <w:tc>
          <w:tcPr>
            <w:tcW w:w="811" w:type="dxa"/>
            <w:tcBorders>
              <w:top w:val="nil"/>
              <w:left w:val="nil"/>
              <w:bottom w:val="single" w:sz="4" w:space="0" w:color="auto"/>
              <w:right w:val="single" w:sz="4" w:space="0" w:color="auto"/>
            </w:tcBorders>
            <w:shd w:val="clear" w:color="auto" w:fill="FFFFFF"/>
            <w:vAlign w:val="bottom"/>
            <w:hideMark/>
          </w:tcPr>
          <w:p w14:paraId="2EF9C3F6" w14:textId="77777777" w:rsidR="005808AD" w:rsidRPr="00312485" w:rsidRDefault="005808AD" w:rsidP="005808AD">
            <w:pPr>
              <w:ind w:firstLine="0"/>
              <w:jc w:val="center"/>
              <w:rPr>
                <w:b/>
                <w:sz w:val="21"/>
                <w:szCs w:val="21"/>
                <w:lang w:val="ro-MD" w:eastAsia="ru-RU"/>
              </w:rPr>
            </w:pPr>
            <w:r w:rsidRPr="00312485">
              <w:rPr>
                <w:sz w:val="21"/>
                <w:szCs w:val="21"/>
                <w:lang w:val="ro-MD"/>
              </w:rPr>
              <w:t>103.2</w:t>
            </w:r>
          </w:p>
        </w:tc>
        <w:tc>
          <w:tcPr>
            <w:tcW w:w="812" w:type="dxa"/>
            <w:tcBorders>
              <w:top w:val="nil"/>
              <w:left w:val="nil"/>
              <w:bottom w:val="single" w:sz="4" w:space="0" w:color="auto"/>
              <w:right w:val="single" w:sz="4" w:space="0" w:color="auto"/>
            </w:tcBorders>
            <w:shd w:val="clear" w:color="auto" w:fill="FFFFFF"/>
            <w:noWrap/>
            <w:vAlign w:val="bottom"/>
            <w:hideMark/>
          </w:tcPr>
          <w:p w14:paraId="3EDF836B" w14:textId="77777777" w:rsidR="005808AD" w:rsidRPr="00312485" w:rsidRDefault="005808AD" w:rsidP="005808AD">
            <w:pPr>
              <w:ind w:firstLine="0"/>
              <w:jc w:val="center"/>
              <w:rPr>
                <w:b/>
                <w:sz w:val="21"/>
                <w:szCs w:val="21"/>
                <w:lang w:val="ro-MD" w:eastAsia="ru-RU"/>
              </w:rPr>
            </w:pPr>
            <w:r w:rsidRPr="00312485">
              <w:rPr>
                <w:sz w:val="21"/>
                <w:szCs w:val="21"/>
                <w:lang w:val="ro-MD"/>
              </w:rPr>
              <w:t>103.5</w:t>
            </w:r>
          </w:p>
        </w:tc>
        <w:tc>
          <w:tcPr>
            <w:tcW w:w="811" w:type="dxa"/>
            <w:tcBorders>
              <w:top w:val="nil"/>
              <w:left w:val="nil"/>
              <w:bottom w:val="single" w:sz="4" w:space="0" w:color="auto"/>
              <w:right w:val="single" w:sz="4" w:space="0" w:color="auto"/>
            </w:tcBorders>
            <w:shd w:val="clear" w:color="auto" w:fill="FFFFFF"/>
            <w:vAlign w:val="bottom"/>
            <w:hideMark/>
          </w:tcPr>
          <w:p w14:paraId="1FC16B8D" w14:textId="77777777" w:rsidR="005808AD" w:rsidRPr="00312485" w:rsidRDefault="005808AD" w:rsidP="005808AD">
            <w:pPr>
              <w:ind w:firstLine="0"/>
              <w:jc w:val="center"/>
              <w:rPr>
                <w:b/>
                <w:sz w:val="21"/>
                <w:szCs w:val="21"/>
                <w:lang w:val="ro-MD" w:eastAsia="ru-RU"/>
              </w:rPr>
            </w:pPr>
            <w:r w:rsidRPr="00312485">
              <w:rPr>
                <w:sz w:val="21"/>
                <w:szCs w:val="21"/>
                <w:lang w:val="ro-MD"/>
              </w:rPr>
              <w:t>103.5</w:t>
            </w:r>
          </w:p>
        </w:tc>
      </w:tr>
      <w:tr w:rsidR="005808AD" w:rsidRPr="00312485" w14:paraId="6FD65AB1"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E664D71" w14:textId="62144C5E" w:rsidR="005808AD" w:rsidRPr="00312485" w:rsidRDefault="003D7F2A" w:rsidP="005808AD">
            <w:pPr>
              <w:ind w:firstLine="0"/>
              <w:rPr>
                <w:b/>
                <w:bCs/>
                <w:sz w:val="21"/>
                <w:szCs w:val="21"/>
                <w:lang w:val="ro-MD" w:eastAsia="ru-RU"/>
              </w:rPr>
            </w:pPr>
            <w:r w:rsidRPr="00312485">
              <w:rPr>
                <w:b/>
                <w:bCs/>
                <w:sz w:val="21"/>
                <w:szCs w:val="21"/>
                <w:lang w:val="ro-MD" w:eastAsia="ru-RU"/>
              </w:rPr>
              <w:t>Producția agricolă</w:t>
            </w:r>
            <w:r w:rsidR="005808AD" w:rsidRPr="00312485">
              <w:rPr>
                <w:b/>
                <w:sz w:val="21"/>
                <w:szCs w:val="21"/>
                <w:lang w:val="ro-MD" w:eastAsia="ru-RU"/>
              </w:rPr>
              <w:t xml:space="preserve"> în prețuri curente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5B595D6" w14:textId="77777777" w:rsidR="005808AD" w:rsidRPr="00521788" w:rsidRDefault="005808AD" w:rsidP="005808AD">
            <w:pPr>
              <w:ind w:firstLine="0"/>
              <w:jc w:val="center"/>
              <w:rPr>
                <w:sz w:val="21"/>
                <w:szCs w:val="21"/>
                <w:lang w:val="ro-MD" w:eastAsia="ru-RU"/>
              </w:rPr>
            </w:pPr>
            <w:proofErr w:type="spellStart"/>
            <w:r w:rsidRPr="00521788">
              <w:rPr>
                <w:sz w:val="21"/>
                <w:szCs w:val="21"/>
                <w:lang w:val="ro-MD" w:eastAsia="ru-RU"/>
              </w:rPr>
              <w:t>mild</w:t>
            </w:r>
            <w:proofErr w:type="spellEnd"/>
            <w:r w:rsidRPr="00521788">
              <w:rPr>
                <w:sz w:val="21"/>
                <w:szCs w:val="21"/>
                <w:lang w:val="ro-MD" w:eastAsia="ru-RU"/>
              </w:rPr>
              <w:t>. lei</w:t>
            </w:r>
          </w:p>
        </w:tc>
        <w:tc>
          <w:tcPr>
            <w:tcW w:w="812" w:type="dxa"/>
            <w:tcBorders>
              <w:top w:val="nil"/>
              <w:left w:val="nil"/>
              <w:bottom w:val="single" w:sz="4" w:space="0" w:color="auto"/>
              <w:right w:val="single" w:sz="4" w:space="0" w:color="auto"/>
            </w:tcBorders>
            <w:shd w:val="clear" w:color="auto" w:fill="auto"/>
            <w:vAlign w:val="bottom"/>
            <w:hideMark/>
          </w:tcPr>
          <w:p w14:paraId="2241E58C" w14:textId="77777777" w:rsidR="005808AD" w:rsidRPr="00312485" w:rsidRDefault="005808AD" w:rsidP="005808AD">
            <w:pPr>
              <w:ind w:firstLine="0"/>
              <w:jc w:val="center"/>
              <w:rPr>
                <w:b/>
                <w:sz w:val="21"/>
                <w:szCs w:val="21"/>
                <w:lang w:val="ro-MD" w:eastAsia="ru-RU"/>
              </w:rPr>
            </w:pPr>
            <w:r w:rsidRPr="00312485">
              <w:rPr>
                <w:sz w:val="21"/>
                <w:szCs w:val="21"/>
                <w:lang w:val="ro-MD"/>
              </w:rPr>
              <w:t>41.0</w:t>
            </w:r>
          </w:p>
        </w:tc>
        <w:tc>
          <w:tcPr>
            <w:tcW w:w="946" w:type="dxa"/>
            <w:tcBorders>
              <w:top w:val="nil"/>
              <w:left w:val="nil"/>
              <w:bottom w:val="single" w:sz="4" w:space="0" w:color="auto"/>
              <w:right w:val="single" w:sz="4" w:space="0" w:color="auto"/>
            </w:tcBorders>
            <w:shd w:val="clear" w:color="auto" w:fill="auto"/>
            <w:vAlign w:val="bottom"/>
            <w:hideMark/>
          </w:tcPr>
          <w:p w14:paraId="550FE52E" w14:textId="77777777" w:rsidR="005808AD" w:rsidRPr="00312485" w:rsidRDefault="005808AD" w:rsidP="005808AD">
            <w:pPr>
              <w:ind w:firstLine="0"/>
              <w:jc w:val="center"/>
              <w:rPr>
                <w:b/>
                <w:sz w:val="21"/>
                <w:szCs w:val="21"/>
                <w:lang w:val="ro-MD" w:eastAsia="ru-RU"/>
              </w:rPr>
            </w:pPr>
            <w:r w:rsidRPr="00312485">
              <w:rPr>
                <w:sz w:val="21"/>
                <w:szCs w:val="21"/>
                <w:lang w:val="ro-MD"/>
              </w:rPr>
              <w:t>41.8</w:t>
            </w:r>
          </w:p>
        </w:tc>
        <w:tc>
          <w:tcPr>
            <w:tcW w:w="845" w:type="dxa"/>
            <w:tcBorders>
              <w:top w:val="nil"/>
              <w:left w:val="nil"/>
              <w:bottom w:val="single" w:sz="4" w:space="0" w:color="auto"/>
              <w:right w:val="single" w:sz="12" w:space="0" w:color="auto"/>
            </w:tcBorders>
            <w:shd w:val="clear" w:color="auto" w:fill="auto"/>
            <w:vAlign w:val="bottom"/>
            <w:hideMark/>
          </w:tcPr>
          <w:p w14:paraId="5DD7EDD3" w14:textId="77777777" w:rsidR="005808AD" w:rsidRPr="00312485" w:rsidRDefault="005808AD" w:rsidP="005808AD">
            <w:pPr>
              <w:ind w:firstLine="0"/>
              <w:jc w:val="center"/>
              <w:rPr>
                <w:b/>
                <w:sz w:val="21"/>
                <w:szCs w:val="21"/>
                <w:vertAlign w:val="superscript"/>
                <w:lang w:val="ro-MD" w:eastAsia="ru-RU"/>
              </w:rPr>
            </w:pPr>
            <w:r w:rsidRPr="00312485">
              <w:rPr>
                <w:sz w:val="21"/>
                <w:szCs w:val="21"/>
                <w:lang w:val="ro-MD"/>
              </w:rPr>
              <w:t>41.4</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3FCBA8DF" w14:textId="77777777" w:rsidR="005808AD" w:rsidRPr="00312485" w:rsidRDefault="005808AD" w:rsidP="005808AD">
            <w:pPr>
              <w:ind w:firstLine="0"/>
              <w:jc w:val="center"/>
              <w:rPr>
                <w:b/>
                <w:sz w:val="21"/>
                <w:szCs w:val="21"/>
                <w:lang w:val="ro-MD" w:eastAsia="ru-RU"/>
              </w:rPr>
            </w:pPr>
            <w:r w:rsidRPr="00312485">
              <w:rPr>
                <w:sz w:val="21"/>
                <w:szCs w:val="21"/>
                <w:lang w:val="ro-MD"/>
              </w:rPr>
              <w:t>49.6</w:t>
            </w:r>
          </w:p>
        </w:tc>
        <w:tc>
          <w:tcPr>
            <w:tcW w:w="811" w:type="dxa"/>
            <w:tcBorders>
              <w:top w:val="nil"/>
              <w:left w:val="nil"/>
              <w:bottom w:val="single" w:sz="4" w:space="0" w:color="auto"/>
              <w:right w:val="single" w:sz="4" w:space="0" w:color="auto"/>
            </w:tcBorders>
            <w:shd w:val="clear" w:color="auto" w:fill="FFFFFF"/>
            <w:vAlign w:val="bottom"/>
            <w:hideMark/>
          </w:tcPr>
          <w:p w14:paraId="031A381A" w14:textId="77777777" w:rsidR="005808AD" w:rsidRPr="00312485" w:rsidRDefault="005808AD" w:rsidP="005808AD">
            <w:pPr>
              <w:ind w:firstLine="0"/>
              <w:jc w:val="center"/>
              <w:rPr>
                <w:b/>
                <w:sz w:val="21"/>
                <w:szCs w:val="21"/>
                <w:lang w:val="ro-MD" w:eastAsia="ru-RU"/>
              </w:rPr>
            </w:pPr>
            <w:r w:rsidRPr="00312485">
              <w:rPr>
                <w:sz w:val="21"/>
                <w:szCs w:val="21"/>
                <w:lang w:val="ro-MD"/>
              </w:rPr>
              <w:t>53.3</w:t>
            </w:r>
          </w:p>
        </w:tc>
        <w:tc>
          <w:tcPr>
            <w:tcW w:w="812" w:type="dxa"/>
            <w:tcBorders>
              <w:top w:val="nil"/>
              <w:left w:val="nil"/>
              <w:bottom w:val="single" w:sz="4" w:space="0" w:color="auto"/>
              <w:right w:val="single" w:sz="4" w:space="0" w:color="auto"/>
            </w:tcBorders>
            <w:shd w:val="clear" w:color="auto" w:fill="FFFFFF"/>
            <w:noWrap/>
            <w:vAlign w:val="bottom"/>
            <w:hideMark/>
          </w:tcPr>
          <w:p w14:paraId="1FE6DCB1" w14:textId="77777777" w:rsidR="005808AD" w:rsidRPr="00312485" w:rsidRDefault="005808AD" w:rsidP="005808AD">
            <w:pPr>
              <w:ind w:firstLine="0"/>
              <w:jc w:val="center"/>
              <w:rPr>
                <w:b/>
                <w:sz w:val="21"/>
                <w:szCs w:val="21"/>
                <w:lang w:val="ro-MD" w:eastAsia="ru-RU"/>
              </w:rPr>
            </w:pPr>
            <w:r w:rsidRPr="00312485">
              <w:rPr>
                <w:sz w:val="21"/>
                <w:szCs w:val="21"/>
                <w:lang w:val="ro-MD"/>
              </w:rPr>
              <w:t>55.2</w:t>
            </w:r>
          </w:p>
        </w:tc>
        <w:tc>
          <w:tcPr>
            <w:tcW w:w="811" w:type="dxa"/>
            <w:tcBorders>
              <w:top w:val="nil"/>
              <w:left w:val="nil"/>
              <w:bottom w:val="single" w:sz="4" w:space="0" w:color="auto"/>
              <w:right w:val="single" w:sz="4" w:space="0" w:color="auto"/>
            </w:tcBorders>
            <w:shd w:val="clear" w:color="auto" w:fill="FFFFFF"/>
            <w:vAlign w:val="bottom"/>
            <w:hideMark/>
          </w:tcPr>
          <w:p w14:paraId="76AD4253" w14:textId="77777777" w:rsidR="005808AD" w:rsidRPr="00312485" w:rsidRDefault="005808AD" w:rsidP="005808AD">
            <w:pPr>
              <w:ind w:firstLine="0"/>
              <w:jc w:val="center"/>
              <w:rPr>
                <w:b/>
                <w:sz w:val="21"/>
                <w:szCs w:val="21"/>
                <w:lang w:val="ro-MD" w:eastAsia="ru-RU"/>
              </w:rPr>
            </w:pPr>
            <w:r w:rsidRPr="00312485">
              <w:rPr>
                <w:sz w:val="21"/>
                <w:szCs w:val="21"/>
                <w:lang w:val="ro-MD"/>
              </w:rPr>
              <w:t>56.9</w:t>
            </w:r>
          </w:p>
        </w:tc>
      </w:tr>
      <w:tr w:rsidR="005808AD" w:rsidRPr="00312485" w14:paraId="54BA1FA0" w14:textId="77777777" w:rsidTr="005808AD">
        <w:trPr>
          <w:trHeight w:val="99"/>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D6231EA" w14:textId="77777777" w:rsidR="005808AD" w:rsidRPr="00312485" w:rsidRDefault="005808AD" w:rsidP="009E73F2">
            <w:pPr>
              <w:ind w:firstLine="0"/>
              <w:jc w:val="right"/>
              <w:rPr>
                <w:sz w:val="21"/>
                <w:szCs w:val="21"/>
                <w:lang w:val="ro-MD" w:eastAsia="ru-RU"/>
              </w:rPr>
            </w:pPr>
            <w:r w:rsidRPr="00312485">
              <w:rPr>
                <w:sz w:val="21"/>
                <w:szCs w:val="21"/>
                <w:lang w:val="ro-MD" w:eastAsia="ru-RU"/>
              </w:rPr>
              <w:t xml:space="preserve">   față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B2189FF"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20B7A0A7" w14:textId="77777777" w:rsidR="005808AD" w:rsidRPr="00312485" w:rsidRDefault="005808AD" w:rsidP="005808AD">
            <w:pPr>
              <w:ind w:firstLine="0"/>
              <w:jc w:val="center"/>
              <w:rPr>
                <w:sz w:val="21"/>
                <w:szCs w:val="21"/>
                <w:lang w:val="ro-MD" w:eastAsia="ru-RU"/>
              </w:rPr>
            </w:pPr>
            <w:r w:rsidRPr="00312485">
              <w:rPr>
                <w:sz w:val="21"/>
                <w:szCs w:val="21"/>
                <w:lang w:val="ro-MD"/>
              </w:rPr>
              <w:t>70.8</w:t>
            </w:r>
          </w:p>
        </w:tc>
        <w:tc>
          <w:tcPr>
            <w:tcW w:w="946" w:type="dxa"/>
            <w:tcBorders>
              <w:top w:val="nil"/>
              <w:left w:val="nil"/>
              <w:bottom w:val="single" w:sz="4" w:space="0" w:color="auto"/>
              <w:right w:val="single" w:sz="4" w:space="0" w:color="auto"/>
            </w:tcBorders>
            <w:shd w:val="clear" w:color="auto" w:fill="auto"/>
            <w:vAlign w:val="bottom"/>
            <w:hideMark/>
          </w:tcPr>
          <w:p w14:paraId="3F9AF62B" w14:textId="77777777" w:rsidR="005808AD" w:rsidRPr="00312485" w:rsidRDefault="005808AD" w:rsidP="005808AD">
            <w:pPr>
              <w:ind w:firstLine="0"/>
              <w:jc w:val="center"/>
              <w:rPr>
                <w:sz w:val="21"/>
                <w:szCs w:val="21"/>
                <w:lang w:val="ro-MD" w:eastAsia="ru-RU"/>
              </w:rPr>
            </w:pPr>
            <w:r w:rsidRPr="00312485">
              <w:rPr>
                <w:sz w:val="21"/>
                <w:szCs w:val="21"/>
                <w:lang w:val="ro-MD"/>
              </w:rPr>
              <w:t>124.5</w:t>
            </w:r>
          </w:p>
        </w:tc>
        <w:tc>
          <w:tcPr>
            <w:tcW w:w="845" w:type="dxa"/>
            <w:tcBorders>
              <w:top w:val="nil"/>
              <w:left w:val="nil"/>
              <w:bottom w:val="single" w:sz="4" w:space="0" w:color="auto"/>
              <w:right w:val="single" w:sz="12" w:space="0" w:color="auto"/>
            </w:tcBorders>
            <w:shd w:val="clear" w:color="auto" w:fill="auto"/>
            <w:vAlign w:val="bottom"/>
            <w:hideMark/>
          </w:tcPr>
          <w:p w14:paraId="36E29EBF" w14:textId="77777777" w:rsidR="005808AD" w:rsidRPr="00312485" w:rsidRDefault="005808AD" w:rsidP="005808AD">
            <w:pPr>
              <w:ind w:firstLine="0"/>
              <w:jc w:val="center"/>
              <w:rPr>
                <w:sz w:val="21"/>
                <w:szCs w:val="21"/>
                <w:lang w:val="ro-MD" w:eastAsia="ru-RU"/>
              </w:rPr>
            </w:pPr>
            <w:r w:rsidRPr="00312485">
              <w:rPr>
                <w:sz w:val="21"/>
                <w:szCs w:val="21"/>
                <w:lang w:val="ro-MD"/>
              </w:rPr>
              <w:t>85.4</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2EF0D809" w14:textId="77777777" w:rsidR="005808AD" w:rsidRPr="00312485" w:rsidRDefault="005808AD" w:rsidP="005808AD">
            <w:pPr>
              <w:ind w:firstLine="0"/>
              <w:jc w:val="center"/>
              <w:rPr>
                <w:sz w:val="21"/>
                <w:szCs w:val="21"/>
                <w:lang w:val="ro-MD" w:eastAsia="ru-RU"/>
              </w:rPr>
            </w:pPr>
            <w:r w:rsidRPr="00312485">
              <w:rPr>
                <w:sz w:val="21"/>
                <w:szCs w:val="21"/>
                <w:lang w:val="ro-MD"/>
              </w:rPr>
              <w:t>114.0</w:t>
            </w:r>
          </w:p>
        </w:tc>
        <w:tc>
          <w:tcPr>
            <w:tcW w:w="811" w:type="dxa"/>
            <w:tcBorders>
              <w:top w:val="nil"/>
              <w:left w:val="nil"/>
              <w:bottom w:val="single" w:sz="4" w:space="0" w:color="auto"/>
              <w:right w:val="single" w:sz="4" w:space="0" w:color="auto"/>
            </w:tcBorders>
            <w:shd w:val="clear" w:color="auto" w:fill="FFFFFF"/>
            <w:vAlign w:val="bottom"/>
            <w:hideMark/>
          </w:tcPr>
          <w:p w14:paraId="689C9228" w14:textId="77777777" w:rsidR="005808AD" w:rsidRPr="00312485" w:rsidRDefault="005808AD" w:rsidP="005808AD">
            <w:pPr>
              <w:ind w:firstLine="0"/>
              <w:jc w:val="center"/>
              <w:rPr>
                <w:sz w:val="21"/>
                <w:szCs w:val="21"/>
                <w:lang w:val="ro-MD" w:eastAsia="ru-RU"/>
              </w:rPr>
            </w:pPr>
            <w:r w:rsidRPr="00312485">
              <w:rPr>
                <w:sz w:val="21"/>
                <w:szCs w:val="21"/>
                <w:lang w:val="ro-MD"/>
              </w:rPr>
              <w:t>102.0</w:t>
            </w:r>
          </w:p>
        </w:tc>
        <w:tc>
          <w:tcPr>
            <w:tcW w:w="812" w:type="dxa"/>
            <w:tcBorders>
              <w:top w:val="nil"/>
              <w:left w:val="nil"/>
              <w:bottom w:val="single" w:sz="4" w:space="0" w:color="auto"/>
              <w:right w:val="single" w:sz="4" w:space="0" w:color="auto"/>
            </w:tcBorders>
            <w:shd w:val="clear" w:color="auto" w:fill="FFFFFF"/>
            <w:noWrap/>
            <w:vAlign w:val="bottom"/>
            <w:hideMark/>
          </w:tcPr>
          <w:p w14:paraId="599FEDE8" w14:textId="77777777" w:rsidR="005808AD" w:rsidRPr="00312485" w:rsidRDefault="005808AD" w:rsidP="005808AD">
            <w:pPr>
              <w:ind w:firstLine="0"/>
              <w:jc w:val="center"/>
              <w:rPr>
                <w:sz w:val="21"/>
                <w:szCs w:val="21"/>
                <w:lang w:val="ro-MD" w:eastAsia="ru-RU"/>
              </w:rPr>
            </w:pPr>
            <w:r w:rsidRPr="00312485">
              <w:rPr>
                <w:sz w:val="21"/>
                <w:szCs w:val="21"/>
                <w:lang w:val="ro-MD"/>
              </w:rPr>
              <w:t>101.5</w:t>
            </w:r>
          </w:p>
        </w:tc>
        <w:tc>
          <w:tcPr>
            <w:tcW w:w="811" w:type="dxa"/>
            <w:tcBorders>
              <w:top w:val="nil"/>
              <w:left w:val="nil"/>
              <w:bottom w:val="single" w:sz="4" w:space="0" w:color="auto"/>
              <w:right w:val="single" w:sz="4" w:space="0" w:color="auto"/>
            </w:tcBorders>
            <w:shd w:val="clear" w:color="auto" w:fill="FFFFFF"/>
            <w:vAlign w:val="bottom"/>
            <w:hideMark/>
          </w:tcPr>
          <w:p w14:paraId="6776D444" w14:textId="77777777" w:rsidR="005808AD" w:rsidRPr="00312485" w:rsidRDefault="005808AD" w:rsidP="005808AD">
            <w:pPr>
              <w:ind w:firstLine="0"/>
              <w:jc w:val="center"/>
              <w:rPr>
                <w:sz w:val="21"/>
                <w:szCs w:val="21"/>
                <w:lang w:val="ro-MD" w:eastAsia="ru-RU"/>
              </w:rPr>
            </w:pPr>
            <w:r w:rsidRPr="00312485">
              <w:rPr>
                <w:sz w:val="21"/>
                <w:szCs w:val="21"/>
                <w:lang w:val="ro-MD"/>
              </w:rPr>
              <w:t>101.0</w:t>
            </w:r>
          </w:p>
        </w:tc>
      </w:tr>
      <w:tr w:rsidR="005808AD" w:rsidRPr="00312485" w14:paraId="1AB8179C" w14:textId="77777777" w:rsidTr="005808AD">
        <w:trPr>
          <w:trHeight w:val="124"/>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035C1EB0" w14:textId="77777777" w:rsidR="005808AD" w:rsidRPr="00312485" w:rsidRDefault="005808AD" w:rsidP="005808AD">
            <w:pPr>
              <w:ind w:firstLine="0"/>
              <w:rPr>
                <w:b/>
                <w:bCs/>
                <w:sz w:val="21"/>
                <w:szCs w:val="21"/>
                <w:lang w:val="ro-MD" w:eastAsia="ru-RU"/>
              </w:rPr>
            </w:pPr>
            <w:r w:rsidRPr="00312485">
              <w:rPr>
                <w:b/>
                <w:bCs/>
                <w:sz w:val="21"/>
                <w:szCs w:val="21"/>
                <w:lang w:val="ro-MD" w:eastAsia="ru-RU"/>
              </w:rPr>
              <w:t>Investiții în active imobilizate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011E616" w14:textId="77777777" w:rsidR="005808AD" w:rsidRPr="00312485" w:rsidRDefault="005808AD" w:rsidP="005808AD">
            <w:pPr>
              <w:ind w:firstLine="0"/>
              <w:jc w:val="center"/>
              <w:rPr>
                <w:sz w:val="21"/>
                <w:szCs w:val="21"/>
                <w:lang w:val="ro-MD" w:eastAsia="ru-RU"/>
              </w:rPr>
            </w:pPr>
            <w:proofErr w:type="spellStart"/>
            <w:r w:rsidRPr="00312485">
              <w:rPr>
                <w:sz w:val="21"/>
                <w:szCs w:val="21"/>
                <w:lang w:val="ro-MD" w:eastAsia="ru-RU"/>
              </w:rPr>
              <w:t>mild</w:t>
            </w:r>
            <w:proofErr w:type="spellEnd"/>
            <w:r w:rsidRPr="00312485">
              <w:rPr>
                <w:sz w:val="21"/>
                <w:szCs w:val="21"/>
                <w:lang w:val="ro-MD" w:eastAsia="ru-RU"/>
              </w:rPr>
              <w:t>. lei</w:t>
            </w:r>
          </w:p>
        </w:tc>
        <w:tc>
          <w:tcPr>
            <w:tcW w:w="812" w:type="dxa"/>
            <w:tcBorders>
              <w:top w:val="nil"/>
              <w:left w:val="nil"/>
              <w:bottom w:val="single" w:sz="4" w:space="0" w:color="auto"/>
              <w:right w:val="single" w:sz="4" w:space="0" w:color="auto"/>
            </w:tcBorders>
            <w:shd w:val="clear" w:color="auto" w:fill="auto"/>
            <w:vAlign w:val="bottom"/>
            <w:hideMark/>
          </w:tcPr>
          <w:p w14:paraId="49B48A8C" w14:textId="77777777" w:rsidR="005808AD" w:rsidRPr="00312485" w:rsidRDefault="005808AD" w:rsidP="005808AD">
            <w:pPr>
              <w:ind w:firstLine="0"/>
              <w:jc w:val="center"/>
              <w:rPr>
                <w:sz w:val="21"/>
                <w:szCs w:val="21"/>
                <w:lang w:val="ro-MD" w:eastAsia="ru-RU"/>
              </w:rPr>
            </w:pPr>
            <w:r w:rsidRPr="00312485">
              <w:rPr>
                <w:sz w:val="21"/>
                <w:szCs w:val="21"/>
                <w:lang w:val="ro-MD"/>
              </w:rPr>
              <w:t>37.1</w:t>
            </w:r>
          </w:p>
        </w:tc>
        <w:tc>
          <w:tcPr>
            <w:tcW w:w="946" w:type="dxa"/>
            <w:tcBorders>
              <w:top w:val="nil"/>
              <w:left w:val="nil"/>
              <w:bottom w:val="single" w:sz="4" w:space="0" w:color="auto"/>
              <w:right w:val="single" w:sz="4" w:space="0" w:color="auto"/>
            </w:tcBorders>
            <w:shd w:val="clear" w:color="auto" w:fill="auto"/>
            <w:vAlign w:val="bottom"/>
            <w:hideMark/>
          </w:tcPr>
          <w:p w14:paraId="2E33EB50" w14:textId="77777777" w:rsidR="005808AD" w:rsidRPr="00312485" w:rsidRDefault="005808AD" w:rsidP="005808AD">
            <w:pPr>
              <w:ind w:firstLine="0"/>
              <w:jc w:val="center"/>
              <w:rPr>
                <w:sz w:val="21"/>
                <w:szCs w:val="21"/>
                <w:lang w:val="ro-MD" w:eastAsia="ru-RU"/>
              </w:rPr>
            </w:pPr>
            <w:r w:rsidRPr="00312485">
              <w:rPr>
                <w:sz w:val="21"/>
                <w:szCs w:val="21"/>
                <w:lang w:val="ro-MD"/>
              </w:rPr>
              <w:t>38.4</w:t>
            </w:r>
          </w:p>
        </w:tc>
        <w:tc>
          <w:tcPr>
            <w:tcW w:w="845" w:type="dxa"/>
            <w:tcBorders>
              <w:top w:val="nil"/>
              <w:left w:val="nil"/>
              <w:bottom w:val="single" w:sz="4" w:space="0" w:color="auto"/>
              <w:right w:val="single" w:sz="12" w:space="0" w:color="auto"/>
            </w:tcBorders>
            <w:shd w:val="clear" w:color="auto" w:fill="auto"/>
            <w:vAlign w:val="bottom"/>
            <w:hideMark/>
          </w:tcPr>
          <w:p w14:paraId="18D723FF" w14:textId="77777777" w:rsidR="005808AD" w:rsidRPr="00312485" w:rsidRDefault="005808AD" w:rsidP="005808AD">
            <w:pPr>
              <w:ind w:firstLine="0"/>
              <w:jc w:val="center"/>
              <w:rPr>
                <w:sz w:val="21"/>
                <w:szCs w:val="21"/>
                <w:vertAlign w:val="superscript"/>
                <w:lang w:val="ro-MD" w:eastAsia="ru-RU"/>
              </w:rPr>
            </w:pPr>
            <w:r w:rsidRPr="00312485">
              <w:rPr>
                <w:sz w:val="21"/>
                <w:szCs w:val="21"/>
                <w:lang w:val="ro-MD"/>
              </w:rPr>
              <w:t>42.2</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108CAF80" w14:textId="77777777" w:rsidR="005808AD" w:rsidRPr="00312485" w:rsidRDefault="005808AD" w:rsidP="005808AD">
            <w:pPr>
              <w:ind w:firstLine="0"/>
              <w:jc w:val="center"/>
              <w:rPr>
                <w:sz w:val="21"/>
                <w:szCs w:val="21"/>
                <w:lang w:val="ro-MD" w:eastAsia="ru-RU"/>
              </w:rPr>
            </w:pPr>
            <w:r w:rsidRPr="00312485">
              <w:rPr>
                <w:sz w:val="21"/>
                <w:szCs w:val="21"/>
                <w:lang w:val="ro-MD"/>
              </w:rPr>
              <w:t>47.3</w:t>
            </w:r>
          </w:p>
        </w:tc>
        <w:tc>
          <w:tcPr>
            <w:tcW w:w="811" w:type="dxa"/>
            <w:tcBorders>
              <w:top w:val="nil"/>
              <w:left w:val="nil"/>
              <w:bottom w:val="single" w:sz="4" w:space="0" w:color="auto"/>
              <w:right w:val="single" w:sz="4" w:space="0" w:color="auto"/>
            </w:tcBorders>
            <w:shd w:val="clear" w:color="auto" w:fill="FFFFFF"/>
            <w:vAlign w:val="bottom"/>
            <w:hideMark/>
          </w:tcPr>
          <w:p w14:paraId="00358E61" w14:textId="77777777" w:rsidR="005808AD" w:rsidRPr="00312485" w:rsidRDefault="005808AD" w:rsidP="005808AD">
            <w:pPr>
              <w:ind w:firstLine="0"/>
              <w:jc w:val="center"/>
              <w:rPr>
                <w:sz w:val="21"/>
                <w:szCs w:val="21"/>
                <w:lang w:val="ro-MD" w:eastAsia="ru-RU"/>
              </w:rPr>
            </w:pPr>
            <w:r w:rsidRPr="00312485">
              <w:rPr>
                <w:sz w:val="21"/>
                <w:szCs w:val="21"/>
                <w:lang w:val="ro-MD"/>
              </w:rPr>
              <w:t>51.6</w:t>
            </w:r>
          </w:p>
        </w:tc>
        <w:tc>
          <w:tcPr>
            <w:tcW w:w="812" w:type="dxa"/>
            <w:tcBorders>
              <w:top w:val="nil"/>
              <w:left w:val="nil"/>
              <w:bottom w:val="single" w:sz="4" w:space="0" w:color="auto"/>
              <w:right w:val="single" w:sz="4" w:space="0" w:color="auto"/>
            </w:tcBorders>
            <w:shd w:val="clear" w:color="auto" w:fill="FFFFFF"/>
            <w:noWrap/>
            <w:vAlign w:val="bottom"/>
            <w:hideMark/>
          </w:tcPr>
          <w:p w14:paraId="21A3E0A7" w14:textId="77777777" w:rsidR="005808AD" w:rsidRPr="00312485" w:rsidRDefault="005808AD" w:rsidP="005808AD">
            <w:pPr>
              <w:ind w:firstLine="0"/>
              <w:jc w:val="center"/>
              <w:rPr>
                <w:sz w:val="21"/>
                <w:szCs w:val="21"/>
                <w:lang w:val="ro-MD" w:eastAsia="ru-RU"/>
              </w:rPr>
            </w:pPr>
            <w:r w:rsidRPr="00312485">
              <w:rPr>
                <w:sz w:val="21"/>
                <w:szCs w:val="21"/>
                <w:lang w:val="ro-MD"/>
              </w:rPr>
              <w:t>55.2</w:t>
            </w:r>
          </w:p>
        </w:tc>
        <w:tc>
          <w:tcPr>
            <w:tcW w:w="811" w:type="dxa"/>
            <w:tcBorders>
              <w:top w:val="nil"/>
              <w:left w:val="nil"/>
              <w:bottom w:val="single" w:sz="4" w:space="0" w:color="auto"/>
              <w:right w:val="single" w:sz="4" w:space="0" w:color="auto"/>
            </w:tcBorders>
            <w:shd w:val="clear" w:color="auto" w:fill="FFFFFF"/>
            <w:vAlign w:val="bottom"/>
            <w:hideMark/>
          </w:tcPr>
          <w:p w14:paraId="26EE301A" w14:textId="77777777" w:rsidR="005808AD" w:rsidRPr="00312485" w:rsidRDefault="005808AD" w:rsidP="005808AD">
            <w:pPr>
              <w:ind w:firstLine="0"/>
              <w:jc w:val="center"/>
              <w:rPr>
                <w:sz w:val="21"/>
                <w:szCs w:val="21"/>
                <w:lang w:val="ro-MD" w:eastAsia="ru-RU"/>
              </w:rPr>
            </w:pPr>
            <w:r w:rsidRPr="00312485">
              <w:rPr>
                <w:sz w:val="21"/>
                <w:szCs w:val="21"/>
                <w:lang w:val="ro-MD"/>
              </w:rPr>
              <w:t>58.3</w:t>
            </w:r>
          </w:p>
        </w:tc>
      </w:tr>
      <w:tr w:rsidR="005808AD" w:rsidRPr="00312485" w14:paraId="06071CD7" w14:textId="77777777" w:rsidTr="005808AD">
        <w:trPr>
          <w:trHeight w:val="335"/>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36E7E0F" w14:textId="77777777" w:rsidR="005808AD" w:rsidRPr="00312485" w:rsidRDefault="005808AD" w:rsidP="009E73F2">
            <w:pPr>
              <w:ind w:firstLine="0"/>
              <w:jc w:val="right"/>
              <w:rPr>
                <w:sz w:val="21"/>
                <w:szCs w:val="21"/>
                <w:lang w:val="ro-MD" w:eastAsia="ru-RU"/>
              </w:rPr>
            </w:pPr>
            <w:r w:rsidRPr="00312485">
              <w:rPr>
                <w:sz w:val="21"/>
                <w:szCs w:val="21"/>
                <w:lang w:val="ro-MD" w:eastAsia="ru-RU"/>
              </w:rPr>
              <w:t xml:space="preserve">   fața de anul precedent în prețuri  comparabile</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0E6DCBD"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13AF2FF4" w14:textId="77777777" w:rsidR="005808AD" w:rsidRPr="00312485" w:rsidRDefault="005808AD" w:rsidP="005808AD">
            <w:pPr>
              <w:ind w:firstLine="0"/>
              <w:jc w:val="center"/>
              <w:rPr>
                <w:sz w:val="21"/>
                <w:szCs w:val="21"/>
                <w:lang w:val="ro-MD" w:eastAsia="ru-RU"/>
              </w:rPr>
            </w:pPr>
            <w:r w:rsidRPr="00312485">
              <w:rPr>
                <w:sz w:val="21"/>
                <w:szCs w:val="21"/>
                <w:lang w:val="ro-MD"/>
              </w:rPr>
              <w:t>88.1</w:t>
            </w:r>
          </w:p>
        </w:tc>
        <w:tc>
          <w:tcPr>
            <w:tcW w:w="946" w:type="dxa"/>
            <w:tcBorders>
              <w:top w:val="nil"/>
              <w:left w:val="nil"/>
              <w:bottom w:val="single" w:sz="4" w:space="0" w:color="auto"/>
              <w:right w:val="single" w:sz="4" w:space="0" w:color="auto"/>
            </w:tcBorders>
            <w:shd w:val="clear" w:color="auto" w:fill="auto"/>
            <w:vAlign w:val="bottom"/>
            <w:hideMark/>
          </w:tcPr>
          <w:p w14:paraId="42CF6FB1" w14:textId="77777777" w:rsidR="005808AD" w:rsidRPr="00312485" w:rsidRDefault="005808AD" w:rsidP="005808AD">
            <w:pPr>
              <w:ind w:firstLine="0"/>
              <w:jc w:val="center"/>
              <w:rPr>
                <w:sz w:val="21"/>
                <w:szCs w:val="21"/>
                <w:lang w:val="ro-MD" w:eastAsia="ru-RU"/>
              </w:rPr>
            </w:pPr>
            <w:r w:rsidRPr="00312485">
              <w:rPr>
                <w:sz w:val="21"/>
                <w:szCs w:val="21"/>
                <w:lang w:val="ro-MD"/>
              </w:rPr>
              <w:t>99.0</w:t>
            </w:r>
          </w:p>
        </w:tc>
        <w:tc>
          <w:tcPr>
            <w:tcW w:w="845" w:type="dxa"/>
            <w:tcBorders>
              <w:top w:val="nil"/>
              <w:left w:val="nil"/>
              <w:bottom w:val="single" w:sz="4" w:space="0" w:color="auto"/>
              <w:right w:val="single" w:sz="12" w:space="0" w:color="auto"/>
            </w:tcBorders>
            <w:shd w:val="clear" w:color="auto" w:fill="auto"/>
            <w:vAlign w:val="bottom"/>
            <w:hideMark/>
          </w:tcPr>
          <w:p w14:paraId="2AFCC127" w14:textId="77777777" w:rsidR="005808AD" w:rsidRPr="00312485" w:rsidRDefault="005808AD" w:rsidP="005808AD">
            <w:pPr>
              <w:ind w:firstLine="0"/>
              <w:jc w:val="center"/>
              <w:rPr>
                <w:sz w:val="21"/>
                <w:szCs w:val="21"/>
                <w:lang w:val="ro-MD" w:eastAsia="ru-RU"/>
              </w:rPr>
            </w:pPr>
            <w:r w:rsidRPr="00312485">
              <w:rPr>
                <w:sz w:val="21"/>
                <w:szCs w:val="21"/>
                <w:lang w:val="ro-MD"/>
              </w:rPr>
              <w:t>107.9</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3D8AC591" w14:textId="77777777" w:rsidR="005808AD" w:rsidRPr="00312485" w:rsidRDefault="005808AD" w:rsidP="005808AD">
            <w:pPr>
              <w:ind w:firstLine="0"/>
              <w:jc w:val="center"/>
              <w:rPr>
                <w:sz w:val="21"/>
                <w:szCs w:val="21"/>
                <w:lang w:val="ro-MD" w:eastAsia="ru-RU"/>
              </w:rPr>
            </w:pPr>
            <w:r w:rsidRPr="00312485">
              <w:rPr>
                <w:sz w:val="21"/>
                <w:szCs w:val="21"/>
                <w:lang w:val="ro-MD"/>
              </w:rPr>
              <w:t>103.7</w:t>
            </w:r>
          </w:p>
        </w:tc>
        <w:tc>
          <w:tcPr>
            <w:tcW w:w="811" w:type="dxa"/>
            <w:tcBorders>
              <w:top w:val="nil"/>
              <w:left w:val="nil"/>
              <w:bottom w:val="single" w:sz="4" w:space="0" w:color="auto"/>
              <w:right w:val="single" w:sz="4" w:space="0" w:color="auto"/>
            </w:tcBorders>
            <w:shd w:val="clear" w:color="auto" w:fill="FFFFFF"/>
            <w:vAlign w:val="bottom"/>
            <w:hideMark/>
          </w:tcPr>
          <w:p w14:paraId="0FCA21B2" w14:textId="77777777" w:rsidR="005808AD" w:rsidRPr="00312485" w:rsidRDefault="005808AD" w:rsidP="005808AD">
            <w:pPr>
              <w:ind w:firstLine="0"/>
              <w:jc w:val="center"/>
              <w:rPr>
                <w:sz w:val="21"/>
                <w:szCs w:val="21"/>
                <w:lang w:val="ro-MD" w:eastAsia="ru-RU"/>
              </w:rPr>
            </w:pPr>
            <w:r w:rsidRPr="00312485">
              <w:rPr>
                <w:sz w:val="21"/>
                <w:szCs w:val="21"/>
                <w:lang w:val="ro-MD"/>
              </w:rPr>
              <w:t>103.5</w:t>
            </w:r>
          </w:p>
        </w:tc>
        <w:tc>
          <w:tcPr>
            <w:tcW w:w="812" w:type="dxa"/>
            <w:tcBorders>
              <w:top w:val="nil"/>
              <w:left w:val="nil"/>
              <w:bottom w:val="single" w:sz="4" w:space="0" w:color="auto"/>
              <w:right w:val="single" w:sz="4" w:space="0" w:color="auto"/>
            </w:tcBorders>
            <w:shd w:val="clear" w:color="auto" w:fill="FFFFFF"/>
            <w:noWrap/>
            <w:vAlign w:val="bottom"/>
            <w:hideMark/>
          </w:tcPr>
          <w:p w14:paraId="587B7138" w14:textId="77777777" w:rsidR="005808AD" w:rsidRPr="00312485" w:rsidRDefault="005808AD" w:rsidP="005808AD">
            <w:pPr>
              <w:ind w:firstLine="0"/>
              <w:jc w:val="center"/>
              <w:rPr>
                <w:sz w:val="21"/>
                <w:szCs w:val="21"/>
                <w:lang w:val="ro-MD" w:eastAsia="ru-RU"/>
              </w:rPr>
            </w:pPr>
            <w:r w:rsidRPr="00312485">
              <w:rPr>
                <w:sz w:val="21"/>
                <w:szCs w:val="21"/>
                <w:lang w:val="ro-MD"/>
              </w:rPr>
              <w:t>103.7</w:t>
            </w:r>
          </w:p>
        </w:tc>
        <w:tc>
          <w:tcPr>
            <w:tcW w:w="811" w:type="dxa"/>
            <w:tcBorders>
              <w:top w:val="nil"/>
              <w:left w:val="nil"/>
              <w:bottom w:val="single" w:sz="4" w:space="0" w:color="auto"/>
              <w:right w:val="single" w:sz="4" w:space="0" w:color="auto"/>
            </w:tcBorders>
            <w:shd w:val="clear" w:color="auto" w:fill="FFFFFF"/>
            <w:vAlign w:val="bottom"/>
            <w:hideMark/>
          </w:tcPr>
          <w:p w14:paraId="12B35D18" w14:textId="77777777" w:rsidR="005808AD" w:rsidRPr="00312485" w:rsidRDefault="005808AD" w:rsidP="005808AD">
            <w:pPr>
              <w:ind w:firstLine="0"/>
              <w:jc w:val="center"/>
              <w:rPr>
                <w:sz w:val="21"/>
                <w:szCs w:val="21"/>
                <w:lang w:val="ro-MD" w:eastAsia="ru-RU"/>
              </w:rPr>
            </w:pPr>
            <w:r w:rsidRPr="00312485">
              <w:rPr>
                <w:sz w:val="21"/>
                <w:szCs w:val="21"/>
                <w:lang w:val="ro-MD"/>
              </w:rPr>
              <w:t>103.7</w:t>
            </w:r>
          </w:p>
        </w:tc>
      </w:tr>
      <w:tr w:rsidR="005808AD" w:rsidRPr="00312485" w14:paraId="00CEE8FA"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9EA23A5" w14:textId="77777777" w:rsidR="005808AD" w:rsidRPr="00312485" w:rsidRDefault="005808AD" w:rsidP="005808AD">
            <w:pPr>
              <w:ind w:firstLine="0"/>
              <w:rPr>
                <w:b/>
                <w:bCs/>
                <w:sz w:val="21"/>
                <w:szCs w:val="21"/>
                <w:lang w:val="ro-MD" w:eastAsia="ru-RU"/>
              </w:rPr>
            </w:pPr>
            <w:r w:rsidRPr="00312485">
              <w:rPr>
                <w:b/>
                <w:bCs/>
                <w:sz w:val="21"/>
                <w:szCs w:val="21"/>
                <w:lang w:val="ro-MD" w:eastAsia="ru-RU"/>
              </w:rPr>
              <w:t>Salariul nominal mediu lunar</w:t>
            </w:r>
          </w:p>
        </w:tc>
        <w:tc>
          <w:tcPr>
            <w:tcW w:w="1252" w:type="dxa"/>
            <w:tcBorders>
              <w:top w:val="single" w:sz="4" w:space="0" w:color="auto"/>
              <w:left w:val="single" w:sz="4" w:space="0" w:color="auto"/>
              <w:bottom w:val="single" w:sz="4" w:space="0" w:color="auto"/>
              <w:right w:val="single" w:sz="4" w:space="0" w:color="auto"/>
            </w:tcBorders>
            <w:vAlign w:val="bottom"/>
            <w:hideMark/>
          </w:tcPr>
          <w:p w14:paraId="06664BFC" w14:textId="77777777" w:rsidR="005808AD" w:rsidRPr="00312485" w:rsidRDefault="005808AD" w:rsidP="005808AD">
            <w:pPr>
              <w:ind w:firstLine="0"/>
              <w:jc w:val="center"/>
              <w:rPr>
                <w:sz w:val="21"/>
                <w:szCs w:val="21"/>
                <w:lang w:val="ro-MD" w:eastAsia="ru-RU"/>
              </w:rPr>
            </w:pPr>
            <w:r w:rsidRPr="00312485">
              <w:rPr>
                <w:sz w:val="21"/>
                <w:szCs w:val="21"/>
                <w:lang w:val="ro-MD" w:eastAsia="ru-RU"/>
              </w:rPr>
              <w:t>lei</w:t>
            </w:r>
          </w:p>
        </w:tc>
        <w:tc>
          <w:tcPr>
            <w:tcW w:w="812" w:type="dxa"/>
            <w:tcBorders>
              <w:top w:val="nil"/>
              <w:left w:val="nil"/>
              <w:bottom w:val="single" w:sz="4" w:space="0" w:color="auto"/>
              <w:right w:val="single" w:sz="4" w:space="0" w:color="auto"/>
            </w:tcBorders>
            <w:shd w:val="clear" w:color="auto" w:fill="auto"/>
            <w:vAlign w:val="bottom"/>
            <w:hideMark/>
          </w:tcPr>
          <w:p w14:paraId="1D7DAA43" w14:textId="77777777" w:rsidR="005808AD" w:rsidRPr="00312485" w:rsidRDefault="005808AD" w:rsidP="005808AD">
            <w:pPr>
              <w:ind w:firstLine="0"/>
              <w:jc w:val="center"/>
              <w:rPr>
                <w:sz w:val="21"/>
                <w:szCs w:val="21"/>
                <w:lang w:val="ro-MD" w:eastAsia="ru-RU"/>
              </w:rPr>
            </w:pPr>
            <w:r w:rsidRPr="00312485">
              <w:rPr>
                <w:sz w:val="21"/>
                <w:szCs w:val="21"/>
                <w:lang w:val="ro-MD"/>
              </w:rPr>
              <w:t>10447</w:t>
            </w:r>
          </w:p>
        </w:tc>
        <w:tc>
          <w:tcPr>
            <w:tcW w:w="946" w:type="dxa"/>
            <w:tcBorders>
              <w:top w:val="nil"/>
              <w:left w:val="nil"/>
              <w:bottom w:val="single" w:sz="4" w:space="0" w:color="auto"/>
              <w:right w:val="single" w:sz="4" w:space="0" w:color="auto"/>
            </w:tcBorders>
            <w:shd w:val="clear" w:color="auto" w:fill="auto"/>
            <w:vAlign w:val="bottom"/>
            <w:hideMark/>
          </w:tcPr>
          <w:p w14:paraId="78F98A27" w14:textId="77777777" w:rsidR="005808AD" w:rsidRPr="00312485" w:rsidRDefault="005808AD" w:rsidP="005808AD">
            <w:pPr>
              <w:ind w:firstLine="0"/>
              <w:jc w:val="center"/>
              <w:rPr>
                <w:sz w:val="21"/>
                <w:szCs w:val="21"/>
                <w:lang w:val="ro-MD" w:eastAsia="ru-RU"/>
              </w:rPr>
            </w:pPr>
            <w:r w:rsidRPr="00312485">
              <w:rPr>
                <w:sz w:val="21"/>
                <w:szCs w:val="21"/>
                <w:lang w:val="ro-MD"/>
              </w:rPr>
              <w:t>12209</w:t>
            </w:r>
          </w:p>
        </w:tc>
        <w:tc>
          <w:tcPr>
            <w:tcW w:w="845" w:type="dxa"/>
            <w:tcBorders>
              <w:top w:val="nil"/>
              <w:left w:val="nil"/>
              <w:bottom w:val="single" w:sz="4" w:space="0" w:color="auto"/>
              <w:right w:val="single" w:sz="12" w:space="0" w:color="auto"/>
            </w:tcBorders>
            <w:shd w:val="clear" w:color="auto" w:fill="auto"/>
            <w:vAlign w:val="bottom"/>
            <w:hideMark/>
          </w:tcPr>
          <w:p w14:paraId="1835F4C1" w14:textId="77777777" w:rsidR="005808AD" w:rsidRPr="00312485" w:rsidRDefault="005808AD" w:rsidP="005808AD">
            <w:pPr>
              <w:ind w:firstLine="0"/>
              <w:jc w:val="center"/>
              <w:rPr>
                <w:sz w:val="21"/>
                <w:szCs w:val="21"/>
                <w:vertAlign w:val="superscript"/>
                <w:lang w:val="ro-MD" w:eastAsia="ru-RU"/>
              </w:rPr>
            </w:pPr>
            <w:r w:rsidRPr="00312485">
              <w:rPr>
                <w:sz w:val="21"/>
                <w:szCs w:val="21"/>
                <w:lang w:val="ro-MD"/>
              </w:rPr>
              <w:t>14020</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68FB49E1" w14:textId="77777777" w:rsidR="005808AD" w:rsidRPr="00312485" w:rsidRDefault="005808AD" w:rsidP="005808AD">
            <w:pPr>
              <w:ind w:firstLine="0"/>
              <w:jc w:val="center"/>
              <w:rPr>
                <w:sz w:val="21"/>
                <w:szCs w:val="21"/>
                <w:lang w:val="ro-MD" w:eastAsia="ru-RU"/>
              </w:rPr>
            </w:pPr>
            <w:r w:rsidRPr="00312485">
              <w:rPr>
                <w:sz w:val="21"/>
                <w:szCs w:val="21"/>
                <w:lang w:val="ro-MD"/>
              </w:rPr>
              <w:t>15800</w:t>
            </w:r>
          </w:p>
        </w:tc>
        <w:tc>
          <w:tcPr>
            <w:tcW w:w="811" w:type="dxa"/>
            <w:tcBorders>
              <w:top w:val="nil"/>
              <w:left w:val="nil"/>
              <w:bottom w:val="single" w:sz="4" w:space="0" w:color="auto"/>
              <w:right w:val="single" w:sz="4" w:space="0" w:color="auto"/>
            </w:tcBorders>
            <w:shd w:val="clear" w:color="auto" w:fill="FFFFFF"/>
            <w:vAlign w:val="bottom"/>
            <w:hideMark/>
          </w:tcPr>
          <w:p w14:paraId="0B4E3EAB" w14:textId="77777777" w:rsidR="005808AD" w:rsidRPr="00312485" w:rsidRDefault="005808AD" w:rsidP="005808AD">
            <w:pPr>
              <w:ind w:firstLine="0"/>
              <w:jc w:val="center"/>
              <w:rPr>
                <w:sz w:val="21"/>
                <w:szCs w:val="21"/>
                <w:lang w:val="ro-MD" w:eastAsia="ru-RU"/>
              </w:rPr>
            </w:pPr>
            <w:r w:rsidRPr="00312485">
              <w:rPr>
                <w:sz w:val="21"/>
                <w:szCs w:val="21"/>
                <w:lang w:val="ro-MD"/>
              </w:rPr>
              <w:t>17500</w:t>
            </w:r>
          </w:p>
        </w:tc>
        <w:tc>
          <w:tcPr>
            <w:tcW w:w="812" w:type="dxa"/>
            <w:tcBorders>
              <w:top w:val="nil"/>
              <w:left w:val="nil"/>
              <w:bottom w:val="single" w:sz="4" w:space="0" w:color="auto"/>
              <w:right w:val="single" w:sz="4" w:space="0" w:color="auto"/>
            </w:tcBorders>
            <w:shd w:val="clear" w:color="auto" w:fill="FFFFFF"/>
            <w:noWrap/>
            <w:vAlign w:val="bottom"/>
            <w:hideMark/>
          </w:tcPr>
          <w:p w14:paraId="53C6D83F" w14:textId="77777777" w:rsidR="005808AD" w:rsidRPr="00312485" w:rsidRDefault="005808AD" w:rsidP="005808AD">
            <w:pPr>
              <w:ind w:firstLine="0"/>
              <w:jc w:val="center"/>
              <w:rPr>
                <w:sz w:val="21"/>
                <w:szCs w:val="21"/>
                <w:lang w:val="ro-MD" w:eastAsia="ru-RU"/>
              </w:rPr>
            </w:pPr>
            <w:r w:rsidRPr="00312485">
              <w:rPr>
                <w:sz w:val="21"/>
                <w:szCs w:val="21"/>
                <w:lang w:val="ro-MD"/>
              </w:rPr>
              <w:t>19200</w:t>
            </w:r>
          </w:p>
        </w:tc>
        <w:tc>
          <w:tcPr>
            <w:tcW w:w="811" w:type="dxa"/>
            <w:tcBorders>
              <w:top w:val="nil"/>
              <w:left w:val="nil"/>
              <w:bottom w:val="single" w:sz="4" w:space="0" w:color="auto"/>
              <w:right w:val="single" w:sz="4" w:space="0" w:color="auto"/>
            </w:tcBorders>
            <w:shd w:val="clear" w:color="auto" w:fill="FFFFFF"/>
            <w:vAlign w:val="bottom"/>
            <w:hideMark/>
          </w:tcPr>
          <w:p w14:paraId="0E62D696" w14:textId="77777777" w:rsidR="005808AD" w:rsidRPr="00312485" w:rsidRDefault="005808AD" w:rsidP="005808AD">
            <w:pPr>
              <w:ind w:firstLine="0"/>
              <w:jc w:val="center"/>
              <w:rPr>
                <w:sz w:val="21"/>
                <w:szCs w:val="21"/>
                <w:lang w:val="ro-MD" w:eastAsia="ru-RU"/>
              </w:rPr>
            </w:pPr>
            <w:r w:rsidRPr="00312485">
              <w:rPr>
                <w:sz w:val="21"/>
                <w:szCs w:val="21"/>
                <w:lang w:val="ro-MD"/>
              </w:rPr>
              <w:t>20900</w:t>
            </w:r>
          </w:p>
        </w:tc>
      </w:tr>
      <w:tr w:rsidR="005808AD" w:rsidRPr="00312485" w14:paraId="631A22AB" w14:textId="77777777" w:rsidTr="005808AD">
        <w:trPr>
          <w:trHeight w:val="38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CCC5FF1" w14:textId="77777777" w:rsidR="005808AD" w:rsidRPr="00312485" w:rsidRDefault="005808AD" w:rsidP="005808AD">
            <w:pPr>
              <w:ind w:firstLine="0"/>
              <w:jc w:val="right"/>
              <w:rPr>
                <w:sz w:val="21"/>
                <w:szCs w:val="21"/>
                <w:lang w:val="ro-MD" w:eastAsia="ru-RU"/>
              </w:rPr>
            </w:pPr>
            <w:r w:rsidRPr="00312485">
              <w:rPr>
                <w:sz w:val="21"/>
                <w:szCs w:val="21"/>
                <w:lang w:val="ro-MD" w:eastAsia="ru-RU"/>
              </w:rPr>
              <w:t>față de anul precedent: 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7895EF7"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1C0D1AD6" w14:textId="77777777" w:rsidR="005808AD" w:rsidRPr="00312485" w:rsidRDefault="005808AD" w:rsidP="005808AD">
            <w:pPr>
              <w:ind w:firstLine="0"/>
              <w:jc w:val="center"/>
              <w:rPr>
                <w:sz w:val="21"/>
                <w:szCs w:val="21"/>
                <w:lang w:val="ro-MD" w:eastAsia="ru-RU"/>
              </w:rPr>
            </w:pPr>
            <w:r w:rsidRPr="00312485">
              <w:rPr>
                <w:sz w:val="21"/>
                <w:szCs w:val="21"/>
                <w:lang w:val="ro-MD"/>
              </w:rPr>
              <w:t>116.3</w:t>
            </w:r>
          </w:p>
        </w:tc>
        <w:tc>
          <w:tcPr>
            <w:tcW w:w="946" w:type="dxa"/>
            <w:tcBorders>
              <w:top w:val="nil"/>
              <w:left w:val="nil"/>
              <w:bottom w:val="single" w:sz="4" w:space="0" w:color="auto"/>
              <w:right w:val="single" w:sz="4" w:space="0" w:color="auto"/>
            </w:tcBorders>
            <w:shd w:val="clear" w:color="auto" w:fill="auto"/>
            <w:vAlign w:val="bottom"/>
            <w:hideMark/>
          </w:tcPr>
          <w:p w14:paraId="3DCB5185" w14:textId="77777777" w:rsidR="005808AD" w:rsidRPr="00312485" w:rsidRDefault="005808AD" w:rsidP="005808AD">
            <w:pPr>
              <w:ind w:firstLine="0"/>
              <w:jc w:val="center"/>
              <w:rPr>
                <w:sz w:val="21"/>
                <w:szCs w:val="21"/>
                <w:lang w:val="ro-MD" w:eastAsia="ru-RU"/>
              </w:rPr>
            </w:pPr>
            <w:r w:rsidRPr="00312485">
              <w:rPr>
                <w:sz w:val="21"/>
                <w:szCs w:val="21"/>
                <w:lang w:val="ro-MD"/>
              </w:rPr>
              <w:t>116.9</w:t>
            </w:r>
          </w:p>
        </w:tc>
        <w:tc>
          <w:tcPr>
            <w:tcW w:w="845" w:type="dxa"/>
            <w:tcBorders>
              <w:top w:val="nil"/>
              <w:left w:val="nil"/>
              <w:bottom w:val="single" w:sz="4" w:space="0" w:color="auto"/>
              <w:right w:val="single" w:sz="12" w:space="0" w:color="auto"/>
            </w:tcBorders>
            <w:shd w:val="clear" w:color="auto" w:fill="auto"/>
            <w:vAlign w:val="bottom"/>
            <w:hideMark/>
          </w:tcPr>
          <w:p w14:paraId="3C03239F" w14:textId="77777777" w:rsidR="005808AD" w:rsidRPr="00312485" w:rsidRDefault="005808AD" w:rsidP="005808AD">
            <w:pPr>
              <w:ind w:firstLine="0"/>
              <w:jc w:val="center"/>
              <w:rPr>
                <w:sz w:val="21"/>
                <w:szCs w:val="21"/>
                <w:lang w:val="ro-MD" w:eastAsia="ru-RU"/>
              </w:rPr>
            </w:pPr>
            <w:r w:rsidRPr="00312485">
              <w:rPr>
                <w:sz w:val="21"/>
                <w:szCs w:val="21"/>
                <w:lang w:val="ro-MD"/>
              </w:rPr>
              <w:t>114.8</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5F7A6F77" w14:textId="77777777" w:rsidR="005808AD" w:rsidRPr="00312485" w:rsidRDefault="005808AD" w:rsidP="005808AD">
            <w:pPr>
              <w:ind w:firstLine="0"/>
              <w:jc w:val="center"/>
              <w:rPr>
                <w:sz w:val="21"/>
                <w:szCs w:val="21"/>
                <w:lang w:val="ro-MD" w:eastAsia="ru-RU"/>
              </w:rPr>
            </w:pPr>
            <w:r w:rsidRPr="00312485">
              <w:rPr>
                <w:sz w:val="21"/>
                <w:szCs w:val="21"/>
                <w:lang w:val="ro-MD"/>
              </w:rPr>
              <w:t>112.7</w:t>
            </w:r>
          </w:p>
        </w:tc>
        <w:tc>
          <w:tcPr>
            <w:tcW w:w="811" w:type="dxa"/>
            <w:tcBorders>
              <w:top w:val="nil"/>
              <w:left w:val="nil"/>
              <w:bottom w:val="single" w:sz="4" w:space="0" w:color="auto"/>
              <w:right w:val="single" w:sz="4" w:space="0" w:color="auto"/>
            </w:tcBorders>
            <w:shd w:val="clear" w:color="auto" w:fill="FFFFFF"/>
            <w:vAlign w:val="bottom"/>
            <w:hideMark/>
          </w:tcPr>
          <w:p w14:paraId="771306DD" w14:textId="77777777" w:rsidR="005808AD" w:rsidRPr="00312485" w:rsidRDefault="005808AD" w:rsidP="005808AD">
            <w:pPr>
              <w:ind w:firstLine="0"/>
              <w:jc w:val="center"/>
              <w:rPr>
                <w:sz w:val="21"/>
                <w:szCs w:val="21"/>
                <w:lang w:val="ro-MD" w:eastAsia="ru-RU"/>
              </w:rPr>
            </w:pPr>
            <w:r w:rsidRPr="00312485">
              <w:rPr>
                <w:sz w:val="21"/>
                <w:szCs w:val="21"/>
                <w:lang w:val="ro-MD"/>
              </w:rPr>
              <w:t>110.8</w:t>
            </w:r>
          </w:p>
        </w:tc>
        <w:tc>
          <w:tcPr>
            <w:tcW w:w="812" w:type="dxa"/>
            <w:tcBorders>
              <w:top w:val="nil"/>
              <w:left w:val="nil"/>
              <w:bottom w:val="single" w:sz="4" w:space="0" w:color="auto"/>
              <w:right w:val="single" w:sz="4" w:space="0" w:color="auto"/>
            </w:tcBorders>
            <w:shd w:val="clear" w:color="auto" w:fill="FFFFFF"/>
            <w:noWrap/>
            <w:vAlign w:val="bottom"/>
            <w:hideMark/>
          </w:tcPr>
          <w:p w14:paraId="2FFB35EF" w14:textId="77777777" w:rsidR="005808AD" w:rsidRPr="00312485" w:rsidRDefault="005808AD" w:rsidP="005808AD">
            <w:pPr>
              <w:ind w:firstLine="0"/>
              <w:jc w:val="center"/>
              <w:rPr>
                <w:sz w:val="21"/>
                <w:szCs w:val="21"/>
                <w:lang w:val="ro-MD" w:eastAsia="ru-RU"/>
              </w:rPr>
            </w:pPr>
            <w:r w:rsidRPr="00312485">
              <w:rPr>
                <w:sz w:val="21"/>
                <w:szCs w:val="21"/>
                <w:lang w:val="ro-MD"/>
              </w:rPr>
              <w:t>109.7</w:t>
            </w:r>
          </w:p>
        </w:tc>
        <w:tc>
          <w:tcPr>
            <w:tcW w:w="811" w:type="dxa"/>
            <w:tcBorders>
              <w:top w:val="nil"/>
              <w:left w:val="nil"/>
              <w:bottom w:val="single" w:sz="4" w:space="0" w:color="auto"/>
              <w:right w:val="single" w:sz="4" w:space="0" w:color="auto"/>
            </w:tcBorders>
            <w:shd w:val="clear" w:color="auto" w:fill="FFFFFF"/>
            <w:vAlign w:val="bottom"/>
            <w:hideMark/>
          </w:tcPr>
          <w:p w14:paraId="5350F028" w14:textId="77777777" w:rsidR="005808AD" w:rsidRPr="00312485" w:rsidRDefault="005808AD" w:rsidP="005808AD">
            <w:pPr>
              <w:ind w:firstLine="0"/>
              <w:jc w:val="center"/>
              <w:rPr>
                <w:sz w:val="21"/>
                <w:szCs w:val="21"/>
                <w:lang w:val="ro-MD" w:eastAsia="ru-RU"/>
              </w:rPr>
            </w:pPr>
            <w:r w:rsidRPr="00312485">
              <w:rPr>
                <w:sz w:val="21"/>
                <w:szCs w:val="21"/>
                <w:lang w:val="ro-MD"/>
              </w:rPr>
              <w:t>108.9</w:t>
            </w:r>
          </w:p>
        </w:tc>
      </w:tr>
      <w:tr w:rsidR="005808AD" w:rsidRPr="00312485" w14:paraId="69DE75C5" w14:textId="77777777" w:rsidTr="005808AD">
        <w:trPr>
          <w:trHeight w:val="38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7CB0E8C9" w14:textId="77777777" w:rsidR="005808AD" w:rsidRPr="00312485" w:rsidRDefault="005808AD" w:rsidP="005808AD">
            <w:pPr>
              <w:ind w:firstLine="0"/>
              <w:jc w:val="right"/>
              <w:rPr>
                <w:sz w:val="21"/>
                <w:szCs w:val="21"/>
                <w:lang w:val="ro-MD" w:eastAsia="ru-RU"/>
              </w:rPr>
            </w:pPr>
            <w:r w:rsidRPr="00312485">
              <w:rPr>
                <w:sz w:val="21"/>
                <w:szCs w:val="21"/>
                <w:lang w:val="ro-MD" w:eastAsia="ru-RU"/>
              </w:rPr>
              <w:t>real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29DF7217"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7C2894A0" w14:textId="77777777" w:rsidR="005808AD" w:rsidRPr="00312485" w:rsidRDefault="005808AD" w:rsidP="005808AD">
            <w:pPr>
              <w:ind w:firstLine="0"/>
              <w:jc w:val="center"/>
              <w:rPr>
                <w:sz w:val="21"/>
                <w:szCs w:val="21"/>
                <w:lang w:val="ro-MD" w:eastAsia="ru-RU"/>
              </w:rPr>
            </w:pPr>
            <w:r w:rsidRPr="00312485">
              <w:rPr>
                <w:sz w:val="21"/>
                <w:szCs w:val="21"/>
                <w:lang w:val="ro-MD"/>
              </w:rPr>
              <w:t>90.4</w:t>
            </w:r>
          </w:p>
        </w:tc>
        <w:tc>
          <w:tcPr>
            <w:tcW w:w="946" w:type="dxa"/>
            <w:tcBorders>
              <w:top w:val="nil"/>
              <w:left w:val="nil"/>
              <w:bottom w:val="single" w:sz="4" w:space="0" w:color="auto"/>
              <w:right w:val="single" w:sz="4" w:space="0" w:color="auto"/>
            </w:tcBorders>
            <w:shd w:val="clear" w:color="auto" w:fill="auto"/>
            <w:vAlign w:val="bottom"/>
            <w:hideMark/>
          </w:tcPr>
          <w:p w14:paraId="3BDAA7C6" w14:textId="77777777" w:rsidR="005808AD" w:rsidRPr="00312485" w:rsidRDefault="005808AD" w:rsidP="005808AD">
            <w:pPr>
              <w:ind w:firstLine="0"/>
              <w:jc w:val="center"/>
              <w:rPr>
                <w:sz w:val="21"/>
                <w:szCs w:val="21"/>
                <w:lang w:val="ro-MD" w:eastAsia="ru-RU"/>
              </w:rPr>
            </w:pPr>
            <w:r w:rsidRPr="00312485">
              <w:rPr>
                <w:sz w:val="21"/>
                <w:szCs w:val="21"/>
                <w:lang w:val="ro-MD"/>
              </w:rPr>
              <w:t>103.0</w:t>
            </w:r>
          </w:p>
        </w:tc>
        <w:tc>
          <w:tcPr>
            <w:tcW w:w="845" w:type="dxa"/>
            <w:tcBorders>
              <w:top w:val="nil"/>
              <w:left w:val="nil"/>
              <w:bottom w:val="single" w:sz="4" w:space="0" w:color="auto"/>
              <w:right w:val="single" w:sz="12" w:space="0" w:color="auto"/>
            </w:tcBorders>
            <w:shd w:val="clear" w:color="auto" w:fill="auto"/>
            <w:vAlign w:val="bottom"/>
            <w:hideMark/>
          </w:tcPr>
          <w:p w14:paraId="4E633544" w14:textId="77777777" w:rsidR="005808AD" w:rsidRPr="00312485" w:rsidRDefault="005808AD" w:rsidP="005808AD">
            <w:pPr>
              <w:ind w:firstLine="0"/>
              <w:jc w:val="center"/>
              <w:rPr>
                <w:sz w:val="21"/>
                <w:szCs w:val="21"/>
                <w:lang w:val="ro-MD" w:eastAsia="ru-RU"/>
              </w:rPr>
            </w:pPr>
            <w:r w:rsidRPr="00312485">
              <w:rPr>
                <w:sz w:val="21"/>
                <w:szCs w:val="21"/>
                <w:lang w:val="ro-MD"/>
              </w:rPr>
              <w:t>109.7</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4EFF3F7A" w14:textId="77777777" w:rsidR="005808AD" w:rsidRPr="00312485" w:rsidRDefault="005808AD" w:rsidP="005808AD">
            <w:pPr>
              <w:ind w:firstLine="0"/>
              <w:jc w:val="center"/>
              <w:rPr>
                <w:sz w:val="21"/>
                <w:szCs w:val="21"/>
                <w:lang w:val="ro-MD" w:eastAsia="ru-RU"/>
              </w:rPr>
            </w:pPr>
            <w:r w:rsidRPr="00312485">
              <w:rPr>
                <w:sz w:val="21"/>
                <w:szCs w:val="21"/>
                <w:lang w:val="ro-MD"/>
              </w:rPr>
              <w:t>105.1</w:t>
            </w:r>
          </w:p>
        </w:tc>
        <w:tc>
          <w:tcPr>
            <w:tcW w:w="811" w:type="dxa"/>
            <w:tcBorders>
              <w:top w:val="nil"/>
              <w:left w:val="nil"/>
              <w:bottom w:val="single" w:sz="4" w:space="0" w:color="auto"/>
              <w:right w:val="single" w:sz="4" w:space="0" w:color="auto"/>
            </w:tcBorders>
            <w:shd w:val="clear" w:color="auto" w:fill="FFFFFF"/>
            <w:vAlign w:val="bottom"/>
            <w:hideMark/>
          </w:tcPr>
          <w:p w14:paraId="313319FE" w14:textId="77777777" w:rsidR="005808AD" w:rsidRPr="00312485" w:rsidRDefault="005808AD" w:rsidP="005808AD">
            <w:pPr>
              <w:ind w:firstLine="0"/>
              <w:jc w:val="center"/>
              <w:rPr>
                <w:sz w:val="21"/>
                <w:szCs w:val="21"/>
                <w:lang w:val="ro-MD" w:eastAsia="ru-RU"/>
              </w:rPr>
            </w:pPr>
            <w:r w:rsidRPr="00312485">
              <w:rPr>
                <w:sz w:val="21"/>
                <w:szCs w:val="21"/>
                <w:lang w:val="ro-MD"/>
              </w:rPr>
              <w:t>105.8</w:t>
            </w:r>
          </w:p>
        </w:tc>
        <w:tc>
          <w:tcPr>
            <w:tcW w:w="812" w:type="dxa"/>
            <w:tcBorders>
              <w:top w:val="nil"/>
              <w:left w:val="nil"/>
              <w:bottom w:val="single" w:sz="4" w:space="0" w:color="auto"/>
              <w:right w:val="single" w:sz="4" w:space="0" w:color="auto"/>
            </w:tcBorders>
            <w:shd w:val="clear" w:color="auto" w:fill="FFFFFF"/>
            <w:noWrap/>
            <w:vAlign w:val="bottom"/>
            <w:hideMark/>
          </w:tcPr>
          <w:p w14:paraId="1078E39E" w14:textId="77777777" w:rsidR="005808AD" w:rsidRPr="00312485" w:rsidRDefault="005808AD" w:rsidP="005808AD">
            <w:pPr>
              <w:ind w:firstLine="0"/>
              <w:jc w:val="center"/>
              <w:rPr>
                <w:sz w:val="21"/>
                <w:szCs w:val="21"/>
                <w:lang w:val="ro-MD" w:eastAsia="ru-RU"/>
              </w:rPr>
            </w:pPr>
            <w:r w:rsidRPr="00312485">
              <w:rPr>
                <w:sz w:val="21"/>
                <w:szCs w:val="21"/>
                <w:lang w:val="ro-MD"/>
              </w:rPr>
              <w:t>104.5</w:t>
            </w:r>
          </w:p>
        </w:tc>
        <w:tc>
          <w:tcPr>
            <w:tcW w:w="811" w:type="dxa"/>
            <w:tcBorders>
              <w:top w:val="nil"/>
              <w:left w:val="nil"/>
              <w:bottom w:val="single" w:sz="4" w:space="0" w:color="auto"/>
              <w:right w:val="single" w:sz="4" w:space="0" w:color="auto"/>
            </w:tcBorders>
            <w:shd w:val="clear" w:color="auto" w:fill="FFFFFF"/>
            <w:vAlign w:val="bottom"/>
            <w:hideMark/>
          </w:tcPr>
          <w:p w14:paraId="08C0DCAC" w14:textId="77777777" w:rsidR="005808AD" w:rsidRPr="00312485" w:rsidRDefault="005808AD" w:rsidP="005808AD">
            <w:pPr>
              <w:ind w:firstLine="0"/>
              <w:jc w:val="center"/>
              <w:rPr>
                <w:sz w:val="21"/>
                <w:szCs w:val="21"/>
                <w:lang w:val="ro-MD" w:eastAsia="ru-RU"/>
              </w:rPr>
            </w:pPr>
            <w:r w:rsidRPr="00312485">
              <w:rPr>
                <w:sz w:val="21"/>
                <w:szCs w:val="21"/>
                <w:lang w:val="ro-MD"/>
              </w:rPr>
              <w:t>103.7</w:t>
            </w:r>
          </w:p>
        </w:tc>
      </w:tr>
      <w:tr w:rsidR="005808AD" w:rsidRPr="00312485" w14:paraId="5A80FE17" w14:textId="77777777" w:rsidTr="005808AD">
        <w:trPr>
          <w:trHeight w:val="24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1658E4C1" w14:textId="77777777" w:rsidR="005808AD" w:rsidRPr="00312485" w:rsidRDefault="005808AD" w:rsidP="005808AD">
            <w:pPr>
              <w:ind w:firstLine="0"/>
              <w:rPr>
                <w:b/>
                <w:bCs/>
                <w:sz w:val="21"/>
                <w:szCs w:val="21"/>
                <w:lang w:val="ro-MD" w:eastAsia="ru-RU"/>
              </w:rPr>
            </w:pPr>
            <w:r w:rsidRPr="00312485">
              <w:rPr>
                <w:b/>
                <w:bCs/>
                <w:sz w:val="21"/>
                <w:szCs w:val="21"/>
                <w:lang w:val="ro-MD" w:eastAsia="ru-RU"/>
              </w:rPr>
              <w:t>Fondul de remunerare a muncii</w:t>
            </w:r>
          </w:p>
        </w:tc>
        <w:tc>
          <w:tcPr>
            <w:tcW w:w="1252" w:type="dxa"/>
            <w:tcBorders>
              <w:top w:val="single" w:sz="4" w:space="0" w:color="auto"/>
              <w:left w:val="single" w:sz="4" w:space="0" w:color="auto"/>
              <w:bottom w:val="single" w:sz="4" w:space="0" w:color="auto"/>
              <w:right w:val="single" w:sz="4" w:space="0" w:color="auto"/>
            </w:tcBorders>
            <w:vAlign w:val="bottom"/>
            <w:hideMark/>
          </w:tcPr>
          <w:p w14:paraId="6B4C7FF3" w14:textId="77777777" w:rsidR="005808AD" w:rsidRPr="00312485" w:rsidRDefault="005808AD" w:rsidP="005808AD">
            <w:pPr>
              <w:ind w:firstLine="0"/>
              <w:jc w:val="center"/>
              <w:rPr>
                <w:sz w:val="21"/>
                <w:szCs w:val="21"/>
                <w:lang w:val="ro-MD" w:eastAsia="ru-RU"/>
              </w:rPr>
            </w:pPr>
            <w:proofErr w:type="spellStart"/>
            <w:r w:rsidRPr="00312485">
              <w:rPr>
                <w:sz w:val="21"/>
                <w:szCs w:val="21"/>
                <w:lang w:val="ro-MD" w:eastAsia="ru-RU"/>
              </w:rPr>
              <w:t>mild</w:t>
            </w:r>
            <w:proofErr w:type="spellEnd"/>
            <w:r w:rsidRPr="00312485">
              <w:rPr>
                <w:sz w:val="21"/>
                <w:szCs w:val="21"/>
                <w:lang w:val="ro-MD" w:eastAsia="ru-RU"/>
              </w:rPr>
              <w:t>. lei</w:t>
            </w:r>
          </w:p>
        </w:tc>
        <w:tc>
          <w:tcPr>
            <w:tcW w:w="812" w:type="dxa"/>
            <w:tcBorders>
              <w:top w:val="nil"/>
              <w:left w:val="nil"/>
              <w:bottom w:val="single" w:sz="4" w:space="0" w:color="auto"/>
              <w:right w:val="single" w:sz="4" w:space="0" w:color="auto"/>
            </w:tcBorders>
            <w:shd w:val="clear" w:color="auto" w:fill="auto"/>
            <w:vAlign w:val="bottom"/>
            <w:hideMark/>
          </w:tcPr>
          <w:p w14:paraId="70D58430" w14:textId="77777777" w:rsidR="005808AD" w:rsidRPr="00312485" w:rsidRDefault="005808AD" w:rsidP="005808AD">
            <w:pPr>
              <w:ind w:firstLine="0"/>
              <w:jc w:val="center"/>
              <w:rPr>
                <w:sz w:val="21"/>
                <w:szCs w:val="21"/>
                <w:lang w:val="ro-MD" w:eastAsia="ru-RU"/>
              </w:rPr>
            </w:pPr>
            <w:r w:rsidRPr="00312485">
              <w:rPr>
                <w:sz w:val="21"/>
                <w:szCs w:val="21"/>
                <w:lang w:val="ro-MD"/>
              </w:rPr>
              <w:t>78.2</w:t>
            </w:r>
          </w:p>
        </w:tc>
        <w:tc>
          <w:tcPr>
            <w:tcW w:w="946" w:type="dxa"/>
            <w:tcBorders>
              <w:top w:val="nil"/>
              <w:left w:val="nil"/>
              <w:bottom w:val="single" w:sz="4" w:space="0" w:color="auto"/>
              <w:right w:val="single" w:sz="4" w:space="0" w:color="auto"/>
            </w:tcBorders>
            <w:shd w:val="clear" w:color="auto" w:fill="auto"/>
            <w:vAlign w:val="bottom"/>
            <w:hideMark/>
          </w:tcPr>
          <w:p w14:paraId="4A3D0977" w14:textId="77777777" w:rsidR="005808AD" w:rsidRPr="00312485" w:rsidRDefault="005808AD" w:rsidP="005808AD">
            <w:pPr>
              <w:ind w:firstLine="0"/>
              <w:jc w:val="center"/>
              <w:rPr>
                <w:sz w:val="21"/>
                <w:szCs w:val="21"/>
                <w:lang w:val="ro-MD" w:eastAsia="ru-RU"/>
              </w:rPr>
            </w:pPr>
            <w:r w:rsidRPr="00312485">
              <w:rPr>
                <w:sz w:val="21"/>
                <w:szCs w:val="21"/>
                <w:lang w:val="ro-MD"/>
              </w:rPr>
              <w:t>91.8</w:t>
            </w:r>
          </w:p>
        </w:tc>
        <w:tc>
          <w:tcPr>
            <w:tcW w:w="845" w:type="dxa"/>
            <w:tcBorders>
              <w:top w:val="nil"/>
              <w:left w:val="nil"/>
              <w:bottom w:val="single" w:sz="4" w:space="0" w:color="auto"/>
              <w:right w:val="single" w:sz="12" w:space="0" w:color="auto"/>
            </w:tcBorders>
            <w:shd w:val="clear" w:color="auto" w:fill="auto"/>
            <w:vAlign w:val="bottom"/>
            <w:hideMark/>
          </w:tcPr>
          <w:p w14:paraId="22A106F4" w14:textId="77777777" w:rsidR="005808AD" w:rsidRPr="00312485" w:rsidRDefault="005808AD" w:rsidP="005808AD">
            <w:pPr>
              <w:ind w:firstLine="0"/>
              <w:jc w:val="center"/>
              <w:rPr>
                <w:sz w:val="21"/>
                <w:szCs w:val="21"/>
                <w:vertAlign w:val="superscript"/>
                <w:lang w:val="ro-MD" w:eastAsia="ru-RU"/>
              </w:rPr>
            </w:pPr>
            <w:r w:rsidRPr="00312485">
              <w:rPr>
                <w:sz w:val="21"/>
                <w:szCs w:val="21"/>
                <w:lang w:val="ro-MD"/>
              </w:rPr>
              <w:t>104.9</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169487A0" w14:textId="77777777" w:rsidR="005808AD" w:rsidRPr="00312485" w:rsidRDefault="005808AD" w:rsidP="005808AD">
            <w:pPr>
              <w:ind w:firstLine="0"/>
              <w:jc w:val="center"/>
              <w:rPr>
                <w:sz w:val="21"/>
                <w:szCs w:val="21"/>
                <w:lang w:val="ro-MD" w:eastAsia="ru-RU"/>
              </w:rPr>
            </w:pPr>
            <w:r w:rsidRPr="00312485">
              <w:rPr>
                <w:sz w:val="21"/>
                <w:szCs w:val="21"/>
                <w:lang w:val="ro-MD"/>
              </w:rPr>
              <w:t>118.1</w:t>
            </w:r>
          </w:p>
        </w:tc>
        <w:tc>
          <w:tcPr>
            <w:tcW w:w="811" w:type="dxa"/>
            <w:tcBorders>
              <w:top w:val="nil"/>
              <w:left w:val="nil"/>
              <w:bottom w:val="single" w:sz="4" w:space="0" w:color="auto"/>
              <w:right w:val="single" w:sz="4" w:space="0" w:color="auto"/>
            </w:tcBorders>
            <w:shd w:val="clear" w:color="auto" w:fill="FFFFFF"/>
            <w:vAlign w:val="bottom"/>
            <w:hideMark/>
          </w:tcPr>
          <w:p w14:paraId="5B23B574" w14:textId="77777777" w:rsidR="005808AD" w:rsidRPr="00312485" w:rsidRDefault="005808AD" w:rsidP="005808AD">
            <w:pPr>
              <w:ind w:firstLine="0"/>
              <w:jc w:val="center"/>
              <w:rPr>
                <w:sz w:val="21"/>
                <w:szCs w:val="21"/>
                <w:lang w:val="ro-MD" w:eastAsia="ru-RU"/>
              </w:rPr>
            </w:pPr>
            <w:r w:rsidRPr="00312485">
              <w:rPr>
                <w:sz w:val="21"/>
                <w:szCs w:val="21"/>
                <w:lang w:val="ro-MD"/>
              </w:rPr>
              <w:t>130.5</w:t>
            </w:r>
          </w:p>
        </w:tc>
        <w:tc>
          <w:tcPr>
            <w:tcW w:w="812" w:type="dxa"/>
            <w:tcBorders>
              <w:top w:val="nil"/>
              <w:left w:val="nil"/>
              <w:bottom w:val="single" w:sz="4" w:space="0" w:color="auto"/>
              <w:right w:val="single" w:sz="4" w:space="0" w:color="auto"/>
            </w:tcBorders>
            <w:shd w:val="clear" w:color="auto" w:fill="FFFFFF"/>
            <w:noWrap/>
            <w:vAlign w:val="bottom"/>
            <w:hideMark/>
          </w:tcPr>
          <w:p w14:paraId="03F5030E" w14:textId="77777777" w:rsidR="005808AD" w:rsidRPr="00312485" w:rsidRDefault="005808AD" w:rsidP="005808AD">
            <w:pPr>
              <w:ind w:firstLine="0"/>
              <w:jc w:val="center"/>
              <w:rPr>
                <w:sz w:val="21"/>
                <w:szCs w:val="21"/>
                <w:lang w:val="ro-MD" w:eastAsia="ru-RU"/>
              </w:rPr>
            </w:pPr>
            <w:r w:rsidRPr="00312485">
              <w:rPr>
                <w:sz w:val="21"/>
                <w:szCs w:val="21"/>
                <w:lang w:val="ro-MD"/>
              </w:rPr>
              <w:t>142.5</w:t>
            </w:r>
          </w:p>
        </w:tc>
        <w:tc>
          <w:tcPr>
            <w:tcW w:w="811" w:type="dxa"/>
            <w:tcBorders>
              <w:top w:val="nil"/>
              <w:left w:val="nil"/>
              <w:bottom w:val="single" w:sz="4" w:space="0" w:color="auto"/>
              <w:right w:val="single" w:sz="4" w:space="0" w:color="auto"/>
            </w:tcBorders>
            <w:shd w:val="clear" w:color="auto" w:fill="FFFFFF"/>
            <w:vAlign w:val="bottom"/>
            <w:hideMark/>
          </w:tcPr>
          <w:p w14:paraId="6982D061" w14:textId="77777777" w:rsidR="005808AD" w:rsidRPr="00312485" w:rsidRDefault="005808AD" w:rsidP="005808AD">
            <w:pPr>
              <w:ind w:firstLine="0"/>
              <w:jc w:val="center"/>
              <w:rPr>
                <w:sz w:val="21"/>
                <w:szCs w:val="21"/>
                <w:lang w:val="ro-MD" w:eastAsia="ru-RU"/>
              </w:rPr>
            </w:pPr>
            <w:r w:rsidRPr="00312485">
              <w:rPr>
                <w:sz w:val="21"/>
                <w:szCs w:val="21"/>
                <w:lang w:val="ro-MD"/>
              </w:rPr>
              <w:t>154.6</w:t>
            </w:r>
          </w:p>
        </w:tc>
      </w:tr>
      <w:tr w:rsidR="005808AD" w:rsidRPr="00312485" w14:paraId="7DDB3CDF" w14:textId="77777777" w:rsidTr="005808AD">
        <w:trPr>
          <w:trHeight w:val="421"/>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21A0A4EE" w14:textId="77777777" w:rsidR="005808AD" w:rsidRPr="00312485" w:rsidRDefault="005808AD" w:rsidP="005808AD">
            <w:pPr>
              <w:ind w:firstLine="0"/>
              <w:jc w:val="right"/>
              <w:rPr>
                <w:sz w:val="21"/>
                <w:szCs w:val="21"/>
                <w:lang w:val="ro-MD" w:eastAsia="ru-RU"/>
              </w:rPr>
            </w:pPr>
            <w:r w:rsidRPr="00312485">
              <w:rPr>
                <w:sz w:val="21"/>
                <w:szCs w:val="21"/>
                <w:lang w:val="ro-MD" w:eastAsia="ru-RU"/>
              </w:rPr>
              <w:t>față de anul precedent: nominal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2AE3F982"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06E7A8CD" w14:textId="77777777" w:rsidR="005808AD" w:rsidRPr="00312485" w:rsidRDefault="005808AD" w:rsidP="005808AD">
            <w:pPr>
              <w:ind w:firstLine="0"/>
              <w:jc w:val="center"/>
              <w:rPr>
                <w:sz w:val="21"/>
                <w:szCs w:val="21"/>
                <w:lang w:val="ro-MD" w:eastAsia="ru-RU"/>
              </w:rPr>
            </w:pPr>
            <w:r w:rsidRPr="00312485">
              <w:rPr>
                <w:sz w:val="21"/>
                <w:szCs w:val="21"/>
                <w:lang w:val="ro-MD"/>
              </w:rPr>
              <w:t>116.5</w:t>
            </w:r>
          </w:p>
        </w:tc>
        <w:tc>
          <w:tcPr>
            <w:tcW w:w="946" w:type="dxa"/>
            <w:tcBorders>
              <w:top w:val="nil"/>
              <w:left w:val="nil"/>
              <w:bottom w:val="single" w:sz="4" w:space="0" w:color="auto"/>
              <w:right w:val="single" w:sz="4" w:space="0" w:color="auto"/>
            </w:tcBorders>
            <w:shd w:val="clear" w:color="auto" w:fill="auto"/>
            <w:vAlign w:val="bottom"/>
            <w:hideMark/>
          </w:tcPr>
          <w:p w14:paraId="00437946" w14:textId="77777777" w:rsidR="005808AD" w:rsidRPr="00312485" w:rsidRDefault="005808AD" w:rsidP="005808AD">
            <w:pPr>
              <w:ind w:firstLine="0"/>
              <w:jc w:val="center"/>
              <w:rPr>
                <w:sz w:val="21"/>
                <w:szCs w:val="21"/>
                <w:lang w:val="ro-MD" w:eastAsia="ru-RU"/>
              </w:rPr>
            </w:pPr>
            <w:r w:rsidRPr="00312485">
              <w:rPr>
                <w:sz w:val="21"/>
                <w:szCs w:val="21"/>
                <w:lang w:val="ro-MD"/>
              </w:rPr>
              <w:t>117.4</w:t>
            </w:r>
          </w:p>
        </w:tc>
        <w:tc>
          <w:tcPr>
            <w:tcW w:w="845" w:type="dxa"/>
            <w:tcBorders>
              <w:top w:val="nil"/>
              <w:left w:val="nil"/>
              <w:bottom w:val="single" w:sz="4" w:space="0" w:color="auto"/>
              <w:right w:val="single" w:sz="12" w:space="0" w:color="auto"/>
            </w:tcBorders>
            <w:shd w:val="clear" w:color="auto" w:fill="auto"/>
            <w:vAlign w:val="bottom"/>
            <w:hideMark/>
          </w:tcPr>
          <w:p w14:paraId="379019C5" w14:textId="77777777" w:rsidR="005808AD" w:rsidRPr="00312485" w:rsidRDefault="005808AD" w:rsidP="005808AD">
            <w:pPr>
              <w:ind w:firstLine="0"/>
              <w:jc w:val="center"/>
              <w:rPr>
                <w:sz w:val="21"/>
                <w:szCs w:val="21"/>
                <w:lang w:val="ro-MD" w:eastAsia="ru-RU"/>
              </w:rPr>
            </w:pPr>
            <w:r w:rsidRPr="00312485">
              <w:rPr>
                <w:sz w:val="21"/>
                <w:szCs w:val="21"/>
                <w:lang w:val="ro-MD"/>
              </w:rPr>
              <w:t>114.4</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2E395BE8" w14:textId="77777777" w:rsidR="005808AD" w:rsidRPr="00312485" w:rsidRDefault="005808AD" w:rsidP="005808AD">
            <w:pPr>
              <w:ind w:firstLine="0"/>
              <w:jc w:val="center"/>
              <w:rPr>
                <w:sz w:val="21"/>
                <w:szCs w:val="21"/>
                <w:lang w:val="ro-MD" w:eastAsia="ru-RU"/>
              </w:rPr>
            </w:pPr>
            <w:r w:rsidRPr="00312485">
              <w:rPr>
                <w:sz w:val="21"/>
                <w:szCs w:val="21"/>
                <w:lang w:val="ro-MD"/>
              </w:rPr>
              <w:t>112.5</w:t>
            </w:r>
          </w:p>
        </w:tc>
        <w:tc>
          <w:tcPr>
            <w:tcW w:w="811" w:type="dxa"/>
            <w:tcBorders>
              <w:top w:val="nil"/>
              <w:left w:val="nil"/>
              <w:bottom w:val="single" w:sz="4" w:space="0" w:color="auto"/>
              <w:right w:val="single" w:sz="4" w:space="0" w:color="auto"/>
            </w:tcBorders>
            <w:shd w:val="clear" w:color="auto" w:fill="FFFFFF"/>
            <w:vAlign w:val="bottom"/>
            <w:hideMark/>
          </w:tcPr>
          <w:p w14:paraId="6987A420" w14:textId="77777777" w:rsidR="005808AD" w:rsidRPr="00312485" w:rsidRDefault="005808AD" w:rsidP="005808AD">
            <w:pPr>
              <w:ind w:firstLine="0"/>
              <w:jc w:val="center"/>
              <w:rPr>
                <w:sz w:val="21"/>
                <w:szCs w:val="21"/>
                <w:lang w:val="ro-MD" w:eastAsia="ru-RU"/>
              </w:rPr>
            </w:pPr>
            <w:r w:rsidRPr="00312485">
              <w:rPr>
                <w:sz w:val="21"/>
                <w:szCs w:val="21"/>
                <w:lang w:val="ro-MD"/>
              </w:rPr>
              <w:t>110.5</w:t>
            </w:r>
          </w:p>
        </w:tc>
        <w:tc>
          <w:tcPr>
            <w:tcW w:w="812" w:type="dxa"/>
            <w:tcBorders>
              <w:top w:val="nil"/>
              <w:left w:val="nil"/>
              <w:bottom w:val="single" w:sz="4" w:space="0" w:color="auto"/>
              <w:right w:val="single" w:sz="4" w:space="0" w:color="auto"/>
            </w:tcBorders>
            <w:shd w:val="clear" w:color="auto" w:fill="FFFFFF"/>
            <w:noWrap/>
            <w:vAlign w:val="bottom"/>
            <w:hideMark/>
          </w:tcPr>
          <w:p w14:paraId="13B05F75" w14:textId="77777777" w:rsidR="005808AD" w:rsidRPr="00312485" w:rsidRDefault="005808AD" w:rsidP="005808AD">
            <w:pPr>
              <w:ind w:firstLine="0"/>
              <w:jc w:val="center"/>
              <w:rPr>
                <w:sz w:val="21"/>
                <w:szCs w:val="21"/>
                <w:lang w:val="ro-MD" w:eastAsia="ru-RU"/>
              </w:rPr>
            </w:pPr>
            <w:r w:rsidRPr="00312485">
              <w:rPr>
                <w:sz w:val="21"/>
                <w:szCs w:val="21"/>
                <w:lang w:val="ro-MD"/>
              </w:rPr>
              <w:t>109.3</w:t>
            </w:r>
          </w:p>
        </w:tc>
        <w:tc>
          <w:tcPr>
            <w:tcW w:w="811" w:type="dxa"/>
            <w:tcBorders>
              <w:top w:val="nil"/>
              <w:left w:val="nil"/>
              <w:bottom w:val="single" w:sz="4" w:space="0" w:color="auto"/>
              <w:right w:val="single" w:sz="4" w:space="0" w:color="auto"/>
            </w:tcBorders>
            <w:shd w:val="clear" w:color="auto" w:fill="FFFFFF"/>
            <w:vAlign w:val="bottom"/>
            <w:hideMark/>
          </w:tcPr>
          <w:p w14:paraId="704ABA55" w14:textId="77777777" w:rsidR="005808AD" w:rsidRPr="00312485" w:rsidRDefault="005808AD" w:rsidP="005808AD">
            <w:pPr>
              <w:ind w:firstLine="0"/>
              <w:jc w:val="center"/>
              <w:rPr>
                <w:sz w:val="21"/>
                <w:szCs w:val="21"/>
                <w:lang w:val="ro-MD" w:eastAsia="ru-RU"/>
              </w:rPr>
            </w:pPr>
            <w:r w:rsidRPr="00312485">
              <w:rPr>
                <w:sz w:val="21"/>
                <w:szCs w:val="21"/>
                <w:lang w:val="ro-MD"/>
              </w:rPr>
              <w:t>108.5</w:t>
            </w:r>
          </w:p>
        </w:tc>
      </w:tr>
      <w:tr w:rsidR="005808AD" w:rsidRPr="00312485" w14:paraId="01BF12C2" w14:textId="77777777" w:rsidTr="005808AD">
        <w:trPr>
          <w:trHeight w:val="72"/>
          <w:jc w:val="center"/>
        </w:trPr>
        <w:tc>
          <w:tcPr>
            <w:tcW w:w="2803" w:type="dxa"/>
            <w:tcBorders>
              <w:top w:val="single" w:sz="4" w:space="0" w:color="auto"/>
              <w:left w:val="single" w:sz="4" w:space="0" w:color="auto"/>
              <w:bottom w:val="single" w:sz="4" w:space="0" w:color="auto"/>
              <w:right w:val="single" w:sz="4" w:space="0" w:color="auto"/>
            </w:tcBorders>
            <w:vAlign w:val="bottom"/>
            <w:hideMark/>
          </w:tcPr>
          <w:p w14:paraId="5EBB29BA" w14:textId="77777777" w:rsidR="005808AD" w:rsidRPr="00312485" w:rsidRDefault="005808AD" w:rsidP="005808AD">
            <w:pPr>
              <w:ind w:firstLine="0"/>
              <w:jc w:val="right"/>
              <w:rPr>
                <w:sz w:val="21"/>
                <w:szCs w:val="21"/>
                <w:lang w:val="ro-MD" w:eastAsia="ru-RU"/>
              </w:rPr>
            </w:pPr>
            <w:r w:rsidRPr="00312485">
              <w:rPr>
                <w:sz w:val="21"/>
                <w:szCs w:val="21"/>
                <w:lang w:val="ro-MD" w:eastAsia="ru-RU"/>
              </w:rPr>
              <w:t>real</w:t>
            </w:r>
          </w:p>
        </w:tc>
        <w:tc>
          <w:tcPr>
            <w:tcW w:w="1252" w:type="dxa"/>
            <w:tcBorders>
              <w:top w:val="single" w:sz="4" w:space="0" w:color="auto"/>
              <w:left w:val="single" w:sz="4" w:space="0" w:color="auto"/>
              <w:bottom w:val="single" w:sz="4" w:space="0" w:color="auto"/>
              <w:right w:val="single" w:sz="4" w:space="0" w:color="auto"/>
            </w:tcBorders>
            <w:vAlign w:val="bottom"/>
            <w:hideMark/>
          </w:tcPr>
          <w:p w14:paraId="4D3CA201" w14:textId="77777777" w:rsidR="005808AD" w:rsidRPr="00312485" w:rsidRDefault="005808AD" w:rsidP="005808AD">
            <w:pPr>
              <w:ind w:firstLine="0"/>
              <w:jc w:val="center"/>
              <w:rPr>
                <w:sz w:val="21"/>
                <w:szCs w:val="21"/>
                <w:lang w:val="ro-MD" w:eastAsia="ru-RU"/>
              </w:rPr>
            </w:pPr>
            <w:r w:rsidRPr="00312485">
              <w:rPr>
                <w:sz w:val="21"/>
                <w:szCs w:val="21"/>
                <w:lang w:val="ro-MD" w:eastAsia="ru-RU"/>
              </w:rPr>
              <w:t>%</w:t>
            </w:r>
          </w:p>
        </w:tc>
        <w:tc>
          <w:tcPr>
            <w:tcW w:w="812" w:type="dxa"/>
            <w:tcBorders>
              <w:top w:val="nil"/>
              <w:left w:val="nil"/>
              <w:bottom w:val="single" w:sz="4" w:space="0" w:color="auto"/>
              <w:right w:val="single" w:sz="4" w:space="0" w:color="auto"/>
            </w:tcBorders>
            <w:shd w:val="clear" w:color="auto" w:fill="auto"/>
            <w:vAlign w:val="bottom"/>
            <w:hideMark/>
          </w:tcPr>
          <w:p w14:paraId="2A1FED9C" w14:textId="77777777" w:rsidR="005808AD" w:rsidRPr="00312485" w:rsidRDefault="005808AD" w:rsidP="005808AD">
            <w:pPr>
              <w:ind w:firstLine="0"/>
              <w:jc w:val="center"/>
              <w:rPr>
                <w:sz w:val="21"/>
                <w:szCs w:val="21"/>
                <w:lang w:val="ro-MD" w:eastAsia="ru-RU"/>
              </w:rPr>
            </w:pPr>
            <w:r w:rsidRPr="00312485">
              <w:rPr>
                <w:sz w:val="21"/>
                <w:szCs w:val="21"/>
                <w:lang w:val="ro-MD"/>
              </w:rPr>
              <w:t>90.5</w:t>
            </w:r>
          </w:p>
        </w:tc>
        <w:tc>
          <w:tcPr>
            <w:tcW w:w="946" w:type="dxa"/>
            <w:tcBorders>
              <w:top w:val="nil"/>
              <w:left w:val="nil"/>
              <w:bottom w:val="single" w:sz="4" w:space="0" w:color="auto"/>
              <w:right w:val="single" w:sz="4" w:space="0" w:color="auto"/>
            </w:tcBorders>
            <w:shd w:val="clear" w:color="auto" w:fill="auto"/>
            <w:vAlign w:val="bottom"/>
            <w:hideMark/>
          </w:tcPr>
          <w:p w14:paraId="25EB4D12" w14:textId="77777777" w:rsidR="005808AD" w:rsidRPr="00312485" w:rsidRDefault="005808AD" w:rsidP="005808AD">
            <w:pPr>
              <w:ind w:firstLine="0"/>
              <w:jc w:val="center"/>
              <w:rPr>
                <w:sz w:val="21"/>
                <w:szCs w:val="21"/>
                <w:lang w:val="ro-MD" w:eastAsia="ru-RU"/>
              </w:rPr>
            </w:pPr>
            <w:r w:rsidRPr="00312485">
              <w:rPr>
                <w:sz w:val="21"/>
                <w:szCs w:val="21"/>
                <w:lang w:val="ro-MD"/>
              </w:rPr>
              <w:t>103.5</w:t>
            </w:r>
          </w:p>
        </w:tc>
        <w:tc>
          <w:tcPr>
            <w:tcW w:w="845" w:type="dxa"/>
            <w:tcBorders>
              <w:top w:val="nil"/>
              <w:left w:val="nil"/>
              <w:bottom w:val="single" w:sz="4" w:space="0" w:color="auto"/>
              <w:right w:val="single" w:sz="12" w:space="0" w:color="auto"/>
            </w:tcBorders>
            <w:shd w:val="clear" w:color="auto" w:fill="auto"/>
            <w:vAlign w:val="bottom"/>
            <w:hideMark/>
          </w:tcPr>
          <w:p w14:paraId="4EF86562" w14:textId="77777777" w:rsidR="005808AD" w:rsidRPr="00312485" w:rsidRDefault="005808AD" w:rsidP="005808AD">
            <w:pPr>
              <w:ind w:firstLine="0"/>
              <w:jc w:val="center"/>
              <w:rPr>
                <w:sz w:val="21"/>
                <w:szCs w:val="21"/>
                <w:lang w:val="ro-MD" w:eastAsia="ru-RU"/>
              </w:rPr>
            </w:pPr>
            <w:r w:rsidRPr="00312485">
              <w:rPr>
                <w:sz w:val="21"/>
                <w:szCs w:val="21"/>
                <w:lang w:val="ro-MD"/>
              </w:rPr>
              <w:t>109.2</w:t>
            </w:r>
          </w:p>
        </w:tc>
        <w:tc>
          <w:tcPr>
            <w:tcW w:w="947" w:type="dxa"/>
            <w:tcBorders>
              <w:top w:val="nil"/>
              <w:left w:val="single" w:sz="12" w:space="0" w:color="auto"/>
              <w:bottom w:val="single" w:sz="4" w:space="0" w:color="auto"/>
              <w:right w:val="single" w:sz="4" w:space="0" w:color="auto"/>
            </w:tcBorders>
            <w:shd w:val="clear" w:color="auto" w:fill="FFFFFF"/>
            <w:vAlign w:val="bottom"/>
            <w:hideMark/>
          </w:tcPr>
          <w:p w14:paraId="2A564322" w14:textId="77777777" w:rsidR="005808AD" w:rsidRPr="00312485" w:rsidRDefault="005808AD" w:rsidP="005808AD">
            <w:pPr>
              <w:ind w:firstLine="0"/>
              <w:jc w:val="center"/>
              <w:rPr>
                <w:sz w:val="21"/>
                <w:szCs w:val="21"/>
                <w:lang w:val="ro-MD" w:eastAsia="ru-RU"/>
              </w:rPr>
            </w:pPr>
            <w:r w:rsidRPr="00312485">
              <w:rPr>
                <w:sz w:val="21"/>
                <w:szCs w:val="21"/>
                <w:lang w:val="ro-MD"/>
              </w:rPr>
              <w:t>104.9</w:t>
            </w:r>
          </w:p>
        </w:tc>
        <w:tc>
          <w:tcPr>
            <w:tcW w:w="811" w:type="dxa"/>
            <w:tcBorders>
              <w:top w:val="nil"/>
              <w:left w:val="nil"/>
              <w:bottom w:val="single" w:sz="4" w:space="0" w:color="auto"/>
              <w:right w:val="single" w:sz="4" w:space="0" w:color="auto"/>
            </w:tcBorders>
            <w:shd w:val="clear" w:color="auto" w:fill="FFFFFF"/>
            <w:vAlign w:val="bottom"/>
            <w:hideMark/>
          </w:tcPr>
          <w:p w14:paraId="4A5A43B8" w14:textId="77777777" w:rsidR="005808AD" w:rsidRPr="00312485" w:rsidRDefault="005808AD" w:rsidP="005808AD">
            <w:pPr>
              <w:ind w:firstLine="0"/>
              <w:jc w:val="center"/>
              <w:rPr>
                <w:sz w:val="21"/>
                <w:szCs w:val="21"/>
                <w:lang w:val="ro-MD" w:eastAsia="ru-RU"/>
              </w:rPr>
            </w:pPr>
            <w:r w:rsidRPr="00312485">
              <w:rPr>
                <w:sz w:val="21"/>
                <w:szCs w:val="21"/>
                <w:lang w:val="ro-MD"/>
              </w:rPr>
              <w:t>105.5</w:t>
            </w:r>
          </w:p>
        </w:tc>
        <w:tc>
          <w:tcPr>
            <w:tcW w:w="812" w:type="dxa"/>
            <w:tcBorders>
              <w:top w:val="nil"/>
              <w:left w:val="nil"/>
              <w:bottom w:val="single" w:sz="4" w:space="0" w:color="auto"/>
              <w:right w:val="single" w:sz="4" w:space="0" w:color="auto"/>
            </w:tcBorders>
            <w:shd w:val="clear" w:color="auto" w:fill="FFFFFF"/>
            <w:noWrap/>
            <w:vAlign w:val="bottom"/>
            <w:hideMark/>
          </w:tcPr>
          <w:p w14:paraId="03E4D7EB" w14:textId="77777777" w:rsidR="005808AD" w:rsidRPr="00312485" w:rsidRDefault="005808AD" w:rsidP="005808AD">
            <w:pPr>
              <w:ind w:firstLine="0"/>
              <w:jc w:val="center"/>
              <w:rPr>
                <w:sz w:val="21"/>
                <w:szCs w:val="21"/>
                <w:lang w:val="ro-MD" w:eastAsia="ru-RU"/>
              </w:rPr>
            </w:pPr>
            <w:r w:rsidRPr="00312485">
              <w:rPr>
                <w:sz w:val="21"/>
                <w:szCs w:val="21"/>
                <w:lang w:val="ro-MD"/>
              </w:rPr>
              <w:t>104.0</w:t>
            </w:r>
          </w:p>
        </w:tc>
        <w:tc>
          <w:tcPr>
            <w:tcW w:w="811" w:type="dxa"/>
            <w:tcBorders>
              <w:top w:val="nil"/>
              <w:left w:val="nil"/>
              <w:bottom w:val="single" w:sz="4" w:space="0" w:color="auto"/>
              <w:right w:val="single" w:sz="4" w:space="0" w:color="auto"/>
            </w:tcBorders>
            <w:shd w:val="clear" w:color="auto" w:fill="FFFFFF"/>
            <w:vAlign w:val="bottom"/>
            <w:hideMark/>
          </w:tcPr>
          <w:p w14:paraId="7D3BFF53" w14:textId="77777777" w:rsidR="005808AD" w:rsidRPr="00312485" w:rsidRDefault="005808AD" w:rsidP="005808AD">
            <w:pPr>
              <w:ind w:firstLine="0"/>
              <w:jc w:val="center"/>
              <w:rPr>
                <w:sz w:val="21"/>
                <w:szCs w:val="21"/>
                <w:lang w:val="ro-MD" w:eastAsia="ru-RU"/>
              </w:rPr>
            </w:pPr>
            <w:r w:rsidRPr="00312485">
              <w:rPr>
                <w:sz w:val="21"/>
                <w:szCs w:val="21"/>
                <w:lang w:val="ro-MD"/>
              </w:rPr>
              <w:t>103.3</w:t>
            </w:r>
          </w:p>
        </w:tc>
      </w:tr>
    </w:tbl>
    <w:p w14:paraId="58485289" w14:textId="4E38034E" w:rsidR="005808AD" w:rsidRPr="00E56445" w:rsidRDefault="008A57E3" w:rsidP="00266FF7">
      <w:pPr>
        <w:autoSpaceDE w:val="0"/>
        <w:autoSpaceDN w:val="0"/>
        <w:adjustRightInd w:val="0"/>
        <w:ind w:firstLine="0"/>
        <w:rPr>
          <w:sz w:val="18"/>
          <w:szCs w:val="24"/>
          <w:lang w:val="ro-MD" w:eastAsia="ru-RU"/>
        </w:rPr>
      </w:pPr>
      <w:r w:rsidRPr="00BD3F3D">
        <w:rPr>
          <w:i/>
          <w:sz w:val="18"/>
          <w:szCs w:val="24"/>
          <w:lang w:val="ro-MD" w:eastAsia="ru-RU"/>
        </w:rPr>
        <w:t>*</w:t>
      </w:r>
      <w:r w:rsidRPr="00E56445">
        <w:rPr>
          <w:sz w:val="18"/>
          <w:szCs w:val="24"/>
          <w:lang w:val="ro-MD" w:eastAsia="ru-RU"/>
        </w:rPr>
        <w:t>conform prognozei din primăvară, prezentată de către MDED</w:t>
      </w:r>
    </w:p>
    <w:sectPr w:rsidR="005808AD" w:rsidRPr="00E56445" w:rsidSect="00FC2D2D">
      <w:headerReference w:type="default" r:id="rId15"/>
      <w:headerReference w:type="first" r:id="rId16"/>
      <w:pgSz w:w="11907" w:h="16840" w:code="9"/>
      <w:pgMar w:top="1134" w:right="964" w:bottom="1134" w:left="1814" w:header="1134"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72D77" w14:textId="77777777" w:rsidR="00D94FCC" w:rsidRDefault="00D94FCC" w:rsidP="00026B87">
      <w:r>
        <w:separator/>
      </w:r>
    </w:p>
  </w:endnote>
  <w:endnote w:type="continuationSeparator" w:id="0">
    <w:p w14:paraId="1D4823AE" w14:textId="77777777" w:rsidR="00D94FCC" w:rsidRDefault="00D94FCC" w:rsidP="0002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Bold">
    <w:altName w:val="Times New Roman"/>
    <w:panose1 w:val="00000000000000000000"/>
    <w:charset w:val="EE"/>
    <w:family w:val="auto"/>
    <w:notTrueType/>
    <w:pitch w:val="default"/>
    <w:sig w:usb0="00000005" w:usb1="00000000" w:usb2="00000000" w:usb3="00000000" w:csb0="00000002"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Nova Cond">
    <w:altName w:val="Arial"/>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03A5A" w14:textId="77777777" w:rsidR="00D94FCC" w:rsidRDefault="00D94FCC" w:rsidP="00026B87">
      <w:r>
        <w:separator/>
      </w:r>
    </w:p>
  </w:footnote>
  <w:footnote w:type="continuationSeparator" w:id="0">
    <w:p w14:paraId="68C03A70" w14:textId="77777777" w:rsidR="00D94FCC" w:rsidRDefault="00D94FCC" w:rsidP="0002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2912F" w14:textId="2FF9C3A6" w:rsidR="00DE6622" w:rsidRDefault="00DE6622">
    <w:pPr>
      <w:pStyle w:val="Antet"/>
      <w:jc w:val="center"/>
    </w:pPr>
    <w:r>
      <w:fldChar w:fldCharType="begin"/>
    </w:r>
    <w:r>
      <w:instrText>PAGE   \* MERGEFORMAT</w:instrText>
    </w:r>
    <w:r>
      <w:fldChar w:fldCharType="separate"/>
    </w:r>
    <w:r w:rsidR="00B65ACD" w:rsidRPr="00B65ACD">
      <w:rPr>
        <w:noProof/>
        <w:lang w:val="ro-RO"/>
      </w:rPr>
      <w:t>46</w:t>
    </w:r>
    <w:r>
      <w:fldChar w:fldCharType="end"/>
    </w:r>
  </w:p>
  <w:p w14:paraId="40E18270" w14:textId="77777777" w:rsidR="00DE6622" w:rsidRDefault="00DE662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DE6622" w14:paraId="64B82F37" w14:textId="77777777" w:rsidTr="00FC2D2D">
      <w:tc>
        <w:tcPr>
          <w:tcW w:w="5000" w:type="pct"/>
        </w:tcPr>
        <w:p w14:paraId="479269F3" w14:textId="77777777" w:rsidR="00DE6622" w:rsidRDefault="00DE6622">
          <w:pPr>
            <w:ind w:firstLine="0"/>
            <w:rPr>
              <w:rFonts w:ascii="Times New Roman" w:hAnsi="Times New Roman"/>
              <w:sz w:val="24"/>
              <w:szCs w:val="24"/>
            </w:rPr>
          </w:pPr>
          <w:r w:rsidRPr="0029400E">
            <w:rPr>
              <w:noProof/>
              <w:sz w:val="24"/>
              <w:szCs w:val="24"/>
              <w:lang w:val="ro-RO" w:eastAsia="ro-RO"/>
            </w:rPr>
            <w:drawing>
              <wp:anchor distT="0" distB="0" distL="114300" distR="114300" simplePos="0" relativeHeight="251659264" behindDoc="0" locked="0" layoutInCell="0" allowOverlap="1" wp14:anchorId="1C16B937" wp14:editId="2ECC43C1">
                <wp:simplePos x="0" y="0"/>
                <wp:positionH relativeFrom="column">
                  <wp:align>center</wp:align>
                </wp:positionH>
                <wp:positionV relativeFrom="line">
                  <wp:align>top</wp:align>
                </wp:positionV>
                <wp:extent cx="752400" cy="860400"/>
                <wp:effectExtent l="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3762" t="5073" r="11009"/>
                        <a:stretch/>
                      </pic:blipFill>
                      <pic:spPr bwMode="auto">
                        <a:xfrm>
                          <a:off x="0" y="0"/>
                          <a:ext cx="752400" cy="860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6F776C1" w14:textId="77777777" w:rsidR="00DE6622" w:rsidRDefault="00DE6622">
          <w:pPr>
            <w:ind w:firstLine="0"/>
            <w:rPr>
              <w:rFonts w:ascii="Times New Roman" w:hAnsi="Times New Roman"/>
              <w:sz w:val="24"/>
              <w:szCs w:val="24"/>
            </w:rPr>
          </w:pPr>
        </w:p>
        <w:p w14:paraId="6E939E08" w14:textId="77777777" w:rsidR="00DE6622" w:rsidRDefault="00DE6622">
          <w:pPr>
            <w:ind w:firstLine="0"/>
            <w:rPr>
              <w:rFonts w:ascii="Times New Roman" w:hAnsi="Times New Roman"/>
              <w:sz w:val="24"/>
              <w:szCs w:val="24"/>
            </w:rPr>
          </w:pPr>
        </w:p>
        <w:p w14:paraId="30228388" w14:textId="77777777" w:rsidR="00DE6622" w:rsidRDefault="00DE6622">
          <w:pPr>
            <w:ind w:firstLine="0"/>
            <w:rPr>
              <w:rFonts w:ascii="Times New Roman" w:hAnsi="Times New Roman"/>
              <w:sz w:val="24"/>
              <w:szCs w:val="24"/>
            </w:rPr>
          </w:pPr>
        </w:p>
        <w:p w14:paraId="371CBE2A" w14:textId="77777777" w:rsidR="00DE6622" w:rsidRPr="00FC2D2D" w:rsidRDefault="00DE6622">
          <w:pPr>
            <w:ind w:firstLine="0"/>
            <w:rPr>
              <w:rFonts w:ascii="Times New Roman" w:hAnsi="Times New Roman"/>
              <w:sz w:val="24"/>
              <w:szCs w:val="24"/>
            </w:rPr>
          </w:pPr>
        </w:p>
      </w:tc>
    </w:tr>
    <w:tr w:rsidR="00DE6622" w14:paraId="27AE2608" w14:textId="77777777" w:rsidTr="00FC2D2D">
      <w:tc>
        <w:tcPr>
          <w:tcW w:w="5000" w:type="pct"/>
        </w:tcPr>
        <w:p w14:paraId="08F848A5" w14:textId="77777777" w:rsidR="00DE6622" w:rsidRPr="00633BD9" w:rsidRDefault="00DE6622" w:rsidP="00FC2D2D">
          <w:pPr>
            <w:pStyle w:val="Titlu8"/>
            <w:outlineLvl w:val="7"/>
            <w:rPr>
              <w:rFonts w:ascii="Times New Roman" w:hAnsi="Times New Roman"/>
              <w:color w:val="000080"/>
              <w:sz w:val="10"/>
              <w:lang w:val="ro-RO"/>
            </w:rPr>
          </w:pPr>
        </w:p>
        <w:p w14:paraId="3807987D" w14:textId="77777777" w:rsidR="00DE6622" w:rsidRPr="00FC2D2D" w:rsidRDefault="00DE6622" w:rsidP="00FC2D2D">
          <w:pPr>
            <w:pStyle w:val="Titlu8"/>
            <w:ind w:firstLine="0"/>
            <w:outlineLvl w:val="7"/>
            <w:rPr>
              <w:rFonts w:ascii="Times New Roman" w:hAnsi="Times New Roman"/>
              <w:spacing w:val="20"/>
              <w:sz w:val="40"/>
              <w:szCs w:val="40"/>
              <w:lang w:val="ro-RO"/>
            </w:rPr>
          </w:pPr>
          <w:r w:rsidRPr="00FC2D2D">
            <w:rPr>
              <w:rFonts w:ascii="Times New Roman" w:hAnsi="Times New Roman"/>
              <w:spacing w:val="20"/>
              <w:sz w:val="40"/>
              <w:szCs w:val="40"/>
              <w:lang w:val="ro-RO"/>
            </w:rPr>
            <w:t>GUVERNUL  REPUBLICII  MOLDOVA</w:t>
          </w:r>
        </w:p>
        <w:p w14:paraId="1671D63E" w14:textId="77777777" w:rsidR="00DE6622" w:rsidRPr="00FC2D2D" w:rsidRDefault="00DE6622" w:rsidP="00FC2D2D">
          <w:pPr>
            <w:ind w:firstLine="0"/>
            <w:jc w:val="center"/>
            <w:rPr>
              <w:rFonts w:ascii="Times New Roman" w:hAnsi="Times New Roman"/>
              <w:lang w:val="ro-RO"/>
            </w:rPr>
          </w:pPr>
        </w:p>
        <w:p w14:paraId="2834D268" w14:textId="1FC83E48" w:rsidR="00DE6622" w:rsidRPr="00FC2D2D" w:rsidRDefault="00DE6622" w:rsidP="00FC2D2D">
          <w:pPr>
            <w:pStyle w:val="Titlu8"/>
            <w:ind w:firstLine="0"/>
            <w:outlineLvl w:val="7"/>
            <w:rPr>
              <w:rFonts w:ascii="Times New Roman" w:hAnsi="Times New Roman"/>
              <w:sz w:val="34"/>
              <w:szCs w:val="34"/>
              <w:lang w:val="ro-RO"/>
            </w:rPr>
          </w:pPr>
          <w:r w:rsidRPr="00FC2D2D">
            <w:rPr>
              <w:rFonts w:ascii="Times New Roman" w:hAnsi="Times New Roman"/>
              <w:spacing w:val="40"/>
              <w:sz w:val="32"/>
              <w:szCs w:val="32"/>
              <w:lang w:val="ro-RO"/>
            </w:rPr>
            <w:t>HOTĂRÂRE</w:t>
          </w:r>
          <w:r w:rsidRPr="00FC2D2D">
            <w:rPr>
              <w:rFonts w:ascii="Times New Roman" w:hAnsi="Times New Roman"/>
              <w:sz w:val="34"/>
              <w:szCs w:val="34"/>
              <w:lang w:val="ro-RO"/>
            </w:rPr>
            <w:t xml:space="preserve"> </w:t>
          </w:r>
          <w:r>
            <w:rPr>
              <w:rFonts w:ascii="Times New Roman" w:hAnsi="Times New Roman"/>
              <w:sz w:val="32"/>
              <w:szCs w:val="32"/>
              <w:lang w:val="ro-RO"/>
            </w:rPr>
            <w:t>nr.</w:t>
          </w:r>
        </w:p>
        <w:p w14:paraId="2ABE5506" w14:textId="77777777" w:rsidR="00DE6622" w:rsidRDefault="00DE6622" w:rsidP="00FC2D2D">
          <w:pPr>
            <w:ind w:firstLine="0"/>
            <w:jc w:val="center"/>
            <w:rPr>
              <w:rFonts w:ascii="Times New Roman" w:hAnsi="Times New Roman"/>
              <w:lang w:val="ro-RO"/>
            </w:rPr>
          </w:pPr>
        </w:p>
        <w:p w14:paraId="0D789702" w14:textId="5B56C487" w:rsidR="00DE6622" w:rsidRPr="00FC2D2D" w:rsidRDefault="00DE6622" w:rsidP="00FC2D2D">
          <w:pPr>
            <w:ind w:firstLine="0"/>
            <w:jc w:val="center"/>
            <w:rPr>
              <w:rFonts w:ascii="Times New Roman" w:hAnsi="Times New Roman"/>
              <w:lang w:val="ro-RO"/>
            </w:rPr>
          </w:pPr>
          <w:r>
            <w:rPr>
              <w:rFonts w:ascii="Times New Roman" w:hAnsi="Times New Roman"/>
              <w:lang w:val="ro-RO"/>
            </w:rPr>
            <w:t>_________________________________</w:t>
          </w:r>
        </w:p>
        <w:p w14:paraId="2036943B" w14:textId="77777777" w:rsidR="00DE6622" w:rsidRPr="00FC2D2D" w:rsidRDefault="00DE6622" w:rsidP="00FC2D2D">
          <w:pPr>
            <w:spacing w:before="120"/>
            <w:ind w:firstLine="0"/>
            <w:jc w:val="center"/>
            <w:rPr>
              <w:rFonts w:ascii="Times New Roman" w:hAnsi="Times New Roman"/>
              <w:b/>
              <w:sz w:val="24"/>
              <w:szCs w:val="24"/>
              <w:lang w:val="ro-RO"/>
            </w:rPr>
          </w:pPr>
          <w:r w:rsidRPr="00FC2D2D">
            <w:rPr>
              <w:rFonts w:ascii="Times New Roman" w:hAnsi="Times New Roman"/>
              <w:b/>
              <w:sz w:val="24"/>
              <w:szCs w:val="24"/>
              <w:lang w:val="ro-RO"/>
            </w:rPr>
            <w:t>Chișinău</w:t>
          </w:r>
        </w:p>
        <w:p w14:paraId="68E15606" w14:textId="77777777" w:rsidR="00DE6622" w:rsidRPr="00FC2D2D" w:rsidRDefault="00DE6622" w:rsidP="00FC2D2D">
          <w:pPr>
            <w:ind w:firstLine="0"/>
            <w:jc w:val="center"/>
            <w:rPr>
              <w:noProof/>
              <w:lang w:val="ro-RO" w:eastAsia="ro-RO"/>
            </w:rPr>
          </w:pPr>
        </w:p>
      </w:tc>
    </w:tr>
  </w:tbl>
  <w:p w14:paraId="5EF5D26D" w14:textId="77777777" w:rsidR="00DE6622" w:rsidRPr="00B16328" w:rsidRDefault="00DE6622" w:rsidP="0029400E">
    <w:pPr>
      <w:pStyle w:val="Antet"/>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5CE"/>
    <w:multiLevelType w:val="hybridMultilevel"/>
    <w:tmpl w:val="37C01D4E"/>
    <w:lvl w:ilvl="0" w:tplc="36E455A0">
      <w:start w:val="1"/>
      <w:numFmt w:val="decimal"/>
      <w:lvlText w:val="%1."/>
      <w:lvlJc w:val="left"/>
      <w:pPr>
        <w:ind w:left="1068" w:hanging="360"/>
      </w:pPr>
      <w:rPr>
        <w:rFonts w:ascii="Times New Roman,Bold" w:hAnsi="Times New Roman,Bold" w:cs="Times New Roman,Bold" w:hint="default"/>
        <w:i w:val="0"/>
        <w:sz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BF7EBE"/>
    <w:multiLevelType w:val="hybridMultilevel"/>
    <w:tmpl w:val="1A628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42645"/>
    <w:multiLevelType w:val="hybridMultilevel"/>
    <w:tmpl w:val="B3DC9FA2"/>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 w15:restartNumberingAfterBreak="0">
    <w:nsid w:val="08584D7E"/>
    <w:multiLevelType w:val="hybridMultilevel"/>
    <w:tmpl w:val="1EB0CA3C"/>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0A477DFB"/>
    <w:multiLevelType w:val="hybridMultilevel"/>
    <w:tmpl w:val="87A2D03C"/>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B5E34F1"/>
    <w:multiLevelType w:val="hybridMultilevel"/>
    <w:tmpl w:val="99D27E1E"/>
    <w:lvl w:ilvl="0" w:tplc="2178854E">
      <w:numFmt w:val="bullet"/>
      <w:lvlText w:val="-"/>
      <w:lvlJc w:val="left"/>
      <w:pPr>
        <w:ind w:left="1080" w:hanging="360"/>
      </w:pPr>
      <w:rPr>
        <w:rFonts w:ascii="Calibri" w:eastAsiaTheme="minorHAns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0E5E5BEC"/>
    <w:multiLevelType w:val="hybridMultilevel"/>
    <w:tmpl w:val="47248FCA"/>
    <w:lvl w:ilvl="0" w:tplc="7B84E99A">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22CBC"/>
    <w:multiLevelType w:val="hybridMultilevel"/>
    <w:tmpl w:val="B5F6253E"/>
    <w:lvl w:ilvl="0" w:tplc="041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E97CF5"/>
    <w:multiLevelType w:val="hybridMultilevel"/>
    <w:tmpl w:val="0F1E62CE"/>
    <w:lvl w:ilvl="0" w:tplc="0418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AB0E4F"/>
    <w:multiLevelType w:val="hybridMultilevel"/>
    <w:tmpl w:val="DE38A7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8C266A0"/>
    <w:multiLevelType w:val="hybridMultilevel"/>
    <w:tmpl w:val="8BAA9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3F010D"/>
    <w:multiLevelType w:val="hybridMultilevel"/>
    <w:tmpl w:val="07CED9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84C5C"/>
    <w:multiLevelType w:val="hybridMultilevel"/>
    <w:tmpl w:val="4864A27A"/>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3" w15:restartNumberingAfterBreak="0">
    <w:nsid w:val="2CBF6581"/>
    <w:multiLevelType w:val="hybridMultilevel"/>
    <w:tmpl w:val="781C5358"/>
    <w:lvl w:ilvl="0" w:tplc="A2A62F5C">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4" w15:restartNumberingAfterBreak="0">
    <w:nsid w:val="334756C5"/>
    <w:multiLevelType w:val="hybridMultilevel"/>
    <w:tmpl w:val="FD704260"/>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3BC95096"/>
    <w:multiLevelType w:val="hybridMultilevel"/>
    <w:tmpl w:val="7E12E236"/>
    <w:lvl w:ilvl="0" w:tplc="04190019">
      <w:start w:val="1"/>
      <w:numFmt w:val="lowerLetter"/>
      <w:lvlText w:val="%1."/>
      <w:lvlJc w:val="left"/>
      <w:pPr>
        <w:ind w:left="1931" w:hanging="360"/>
      </w:pPr>
      <w:rPr>
        <w:rFonts w:hint="default"/>
      </w:rPr>
    </w:lvl>
    <w:lvl w:ilvl="1" w:tplc="04090001">
      <w:start w:val="1"/>
      <w:numFmt w:val="bullet"/>
      <w:lvlText w:val=""/>
      <w:lvlJc w:val="left"/>
      <w:pPr>
        <w:ind w:left="2651" w:hanging="360"/>
      </w:pPr>
      <w:rPr>
        <w:rFonts w:ascii="Symbol" w:hAnsi="Symbol" w:hint="default"/>
      </w:r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6" w15:restartNumberingAfterBreak="0">
    <w:nsid w:val="3DF22E3C"/>
    <w:multiLevelType w:val="hybridMultilevel"/>
    <w:tmpl w:val="D24A1006"/>
    <w:lvl w:ilvl="0" w:tplc="5BE6154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F223A86"/>
    <w:multiLevelType w:val="hybridMultilevel"/>
    <w:tmpl w:val="A282DC94"/>
    <w:lvl w:ilvl="0" w:tplc="219A8758">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45161353"/>
    <w:multiLevelType w:val="hybridMultilevel"/>
    <w:tmpl w:val="F64E9066"/>
    <w:lvl w:ilvl="0" w:tplc="04090011">
      <w:start w:val="1"/>
      <w:numFmt w:val="decimal"/>
      <w:lvlText w:val="%1)"/>
      <w:lvlJc w:val="left"/>
      <w:pPr>
        <w:ind w:left="1494" w:hanging="360"/>
      </w:pPr>
      <w:rPr>
        <w:rFonts w:hint="default"/>
      </w:rPr>
    </w:lvl>
    <w:lvl w:ilvl="1" w:tplc="08090003" w:tentative="1">
      <w:start w:val="1"/>
      <w:numFmt w:val="bullet"/>
      <w:lvlText w:val="o"/>
      <w:lvlJc w:val="left"/>
      <w:pPr>
        <w:ind w:left="1412" w:hanging="360"/>
      </w:pPr>
      <w:rPr>
        <w:rFonts w:ascii="Courier New" w:hAnsi="Courier New" w:cs="Courier New" w:hint="default"/>
      </w:rPr>
    </w:lvl>
    <w:lvl w:ilvl="2" w:tplc="08090005" w:tentative="1">
      <w:start w:val="1"/>
      <w:numFmt w:val="bullet"/>
      <w:lvlText w:val=""/>
      <w:lvlJc w:val="left"/>
      <w:pPr>
        <w:ind w:left="2132" w:hanging="360"/>
      </w:pPr>
      <w:rPr>
        <w:rFonts w:ascii="Wingdings" w:hAnsi="Wingdings" w:hint="default"/>
      </w:rPr>
    </w:lvl>
    <w:lvl w:ilvl="3" w:tplc="08090001" w:tentative="1">
      <w:start w:val="1"/>
      <w:numFmt w:val="bullet"/>
      <w:lvlText w:val=""/>
      <w:lvlJc w:val="left"/>
      <w:pPr>
        <w:ind w:left="2852" w:hanging="360"/>
      </w:pPr>
      <w:rPr>
        <w:rFonts w:ascii="Symbol" w:hAnsi="Symbol" w:hint="default"/>
      </w:rPr>
    </w:lvl>
    <w:lvl w:ilvl="4" w:tplc="08090003" w:tentative="1">
      <w:start w:val="1"/>
      <w:numFmt w:val="bullet"/>
      <w:lvlText w:val="o"/>
      <w:lvlJc w:val="left"/>
      <w:pPr>
        <w:ind w:left="3572" w:hanging="360"/>
      </w:pPr>
      <w:rPr>
        <w:rFonts w:ascii="Courier New" w:hAnsi="Courier New" w:cs="Courier New" w:hint="default"/>
      </w:rPr>
    </w:lvl>
    <w:lvl w:ilvl="5" w:tplc="08090005" w:tentative="1">
      <w:start w:val="1"/>
      <w:numFmt w:val="bullet"/>
      <w:lvlText w:val=""/>
      <w:lvlJc w:val="left"/>
      <w:pPr>
        <w:ind w:left="4292" w:hanging="360"/>
      </w:pPr>
      <w:rPr>
        <w:rFonts w:ascii="Wingdings" w:hAnsi="Wingdings" w:hint="default"/>
      </w:rPr>
    </w:lvl>
    <w:lvl w:ilvl="6" w:tplc="08090001" w:tentative="1">
      <w:start w:val="1"/>
      <w:numFmt w:val="bullet"/>
      <w:lvlText w:val=""/>
      <w:lvlJc w:val="left"/>
      <w:pPr>
        <w:ind w:left="5012" w:hanging="360"/>
      </w:pPr>
      <w:rPr>
        <w:rFonts w:ascii="Symbol" w:hAnsi="Symbol" w:hint="default"/>
      </w:rPr>
    </w:lvl>
    <w:lvl w:ilvl="7" w:tplc="08090003" w:tentative="1">
      <w:start w:val="1"/>
      <w:numFmt w:val="bullet"/>
      <w:lvlText w:val="o"/>
      <w:lvlJc w:val="left"/>
      <w:pPr>
        <w:ind w:left="5732" w:hanging="360"/>
      </w:pPr>
      <w:rPr>
        <w:rFonts w:ascii="Courier New" w:hAnsi="Courier New" w:cs="Courier New" w:hint="default"/>
      </w:rPr>
    </w:lvl>
    <w:lvl w:ilvl="8" w:tplc="08090005" w:tentative="1">
      <w:start w:val="1"/>
      <w:numFmt w:val="bullet"/>
      <w:lvlText w:val=""/>
      <w:lvlJc w:val="left"/>
      <w:pPr>
        <w:ind w:left="6452" w:hanging="360"/>
      </w:pPr>
      <w:rPr>
        <w:rFonts w:ascii="Wingdings" w:hAnsi="Wingdings" w:hint="default"/>
      </w:rPr>
    </w:lvl>
  </w:abstractNum>
  <w:abstractNum w:abstractNumId="19" w15:restartNumberingAfterBreak="0">
    <w:nsid w:val="4AE27A4A"/>
    <w:multiLevelType w:val="hybridMultilevel"/>
    <w:tmpl w:val="7B96B40E"/>
    <w:lvl w:ilvl="0" w:tplc="5F44252C">
      <w:numFmt w:val="bullet"/>
      <w:lvlText w:val="●"/>
      <w:lvlJc w:val="left"/>
      <w:pPr>
        <w:ind w:left="3060" w:hanging="360"/>
      </w:pPr>
      <w:rPr>
        <w:rFonts w:ascii="Times New Roman" w:eastAsia="Times New Roman" w:hAnsi="Times New Roman" w:cs="Times New Roman" w:hint="default"/>
        <w:b w:val="0"/>
        <w:bCs w:val="0"/>
        <w:i w:val="0"/>
        <w:iCs w:val="0"/>
        <w:spacing w:val="0"/>
        <w:w w:val="99"/>
        <w:sz w:val="20"/>
        <w:szCs w:val="20"/>
        <w:lang w:val="ro-RO"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BD3208D"/>
    <w:multiLevelType w:val="hybridMultilevel"/>
    <w:tmpl w:val="C34A6256"/>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1" w15:restartNumberingAfterBreak="0">
    <w:nsid w:val="4BEB38FD"/>
    <w:multiLevelType w:val="hybridMultilevel"/>
    <w:tmpl w:val="FA1210F0"/>
    <w:lvl w:ilvl="0" w:tplc="E4726E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50D968D9"/>
    <w:multiLevelType w:val="hybridMultilevel"/>
    <w:tmpl w:val="172664D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530117CF"/>
    <w:multiLevelType w:val="hybridMultilevel"/>
    <w:tmpl w:val="33246EB4"/>
    <w:lvl w:ilvl="0" w:tplc="04180001">
      <w:start w:val="1"/>
      <w:numFmt w:val="bullet"/>
      <w:lvlText w:val=""/>
      <w:lvlJc w:val="left"/>
      <w:pPr>
        <w:ind w:left="22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C91C22"/>
    <w:multiLevelType w:val="hybridMultilevel"/>
    <w:tmpl w:val="6F48A9A4"/>
    <w:lvl w:ilvl="0" w:tplc="D9483FF8">
      <w:start w:val="1"/>
      <w:numFmt w:val="bullet"/>
      <w:lvlText w:val="-"/>
      <w:lvlJc w:val="left"/>
      <w:pPr>
        <w:ind w:left="502"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2D15FE"/>
    <w:multiLevelType w:val="hybridMultilevel"/>
    <w:tmpl w:val="D6E21DAE"/>
    <w:lvl w:ilvl="0" w:tplc="D3E80F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DD5E2B"/>
    <w:multiLevelType w:val="hybridMultilevel"/>
    <w:tmpl w:val="8F588856"/>
    <w:lvl w:ilvl="0" w:tplc="C980D09E">
      <w:numFmt w:val="bullet"/>
      <w:lvlText w:val="-"/>
      <w:lvlJc w:val="left"/>
      <w:pPr>
        <w:ind w:left="720" w:hanging="360"/>
      </w:pPr>
      <w:rPr>
        <w:rFonts w:ascii="Times New Roman" w:eastAsia="Calibri" w:hAnsi="Times New Roman"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4318FA"/>
    <w:multiLevelType w:val="hybridMultilevel"/>
    <w:tmpl w:val="CFF8ED6A"/>
    <w:lvl w:ilvl="0" w:tplc="6AEEBF18">
      <w:numFmt w:val="bullet"/>
      <w:lvlText w:val="-"/>
      <w:lvlJc w:val="left"/>
      <w:pPr>
        <w:ind w:left="720" w:hanging="360"/>
      </w:pPr>
      <w:rPr>
        <w:rFonts w:ascii="Times New Roman" w:eastAsia="Calibri" w:hAnsi="Times New Roman" w:cs="Times New Roman" w:hint="default"/>
        <w:b/>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7E5342"/>
    <w:multiLevelType w:val="hybridMultilevel"/>
    <w:tmpl w:val="FDF2EF38"/>
    <w:lvl w:ilvl="0" w:tplc="83E44CB4">
      <w:numFmt w:val="bullet"/>
      <w:lvlText w:val="-"/>
      <w:lvlJc w:val="left"/>
      <w:pPr>
        <w:ind w:left="851" w:hanging="360"/>
      </w:pPr>
      <w:rPr>
        <w:rFonts w:ascii="Times New Roman" w:eastAsiaTheme="minorHAnsi" w:hAnsi="Times New Roman" w:cs="Times New Roman" w:hint="default"/>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29" w15:restartNumberingAfterBreak="0">
    <w:nsid w:val="5BB323FA"/>
    <w:multiLevelType w:val="hybridMultilevel"/>
    <w:tmpl w:val="DD78C36A"/>
    <w:lvl w:ilvl="0" w:tplc="0418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D0718E"/>
    <w:multiLevelType w:val="hybridMultilevel"/>
    <w:tmpl w:val="34AE5210"/>
    <w:lvl w:ilvl="0" w:tplc="04190019">
      <w:start w:val="1"/>
      <w:numFmt w:val="lowerLetter"/>
      <w:lvlText w:val="%1."/>
      <w:lvlJc w:val="left"/>
      <w:pPr>
        <w:ind w:left="1855" w:hanging="360"/>
      </w:pPr>
      <w:rPr>
        <w:rFonts w:hint="default"/>
      </w:rPr>
    </w:lvl>
    <w:lvl w:ilvl="1" w:tplc="04090001">
      <w:start w:val="1"/>
      <w:numFmt w:val="bullet"/>
      <w:lvlText w:val=""/>
      <w:lvlJc w:val="left"/>
      <w:pPr>
        <w:ind w:left="644" w:hanging="360"/>
      </w:pPr>
      <w:rPr>
        <w:rFonts w:ascii="Symbol" w:hAnsi="Symbol" w:hint="default"/>
      </w:r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31" w15:restartNumberingAfterBreak="0">
    <w:nsid w:val="60F44967"/>
    <w:multiLevelType w:val="hybridMultilevel"/>
    <w:tmpl w:val="96466A22"/>
    <w:lvl w:ilvl="0" w:tplc="08090011">
      <w:start w:val="1"/>
      <w:numFmt w:val="decimal"/>
      <w:lvlText w:val="%1)"/>
      <w:lvlJc w:val="left"/>
      <w:pPr>
        <w:ind w:left="1070"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32" w15:restartNumberingAfterBreak="0">
    <w:nsid w:val="61AA14A2"/>
    <w:multiLevelType w:val="hybridMultilevel"/>
    <w:tmpl w:val="6BECC27E"/>
    <w:lvl w:ilvl="0" w:tplc="0418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217C9"/>
    <w:multiLevelType w:val="hybridMultilevel"/>
    <w:tmpl w:val="CB3AEACE"/>
    <w:lvl w:ilvl="0" w:tplc="609CA2FA">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69702F3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9C62695"/>
    <w:multiLevelType w:val="hybridMultilevel"/>
    <w:tmpl w:val="BA502850"/>
    <w:lvl w:ilvl="0" w:tplc="0418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DE6689"/>
    <w:multiLevelType w:val="hybridMultilevel"/>
    <w:tmpl w:val="B892423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585C78"/>
    <w:multiLevelType w:val="hybridMultilevel"/>
    <w:tmpl w:val="77E06CF2"/>
    <w:lvl w:ilvl="0" w:tplc="0418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E81E6B"/>
    <w:multiLevelType w:val="hybridMultilevel"/>
    <w:tmpl w:val="2BB2B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D75561B"/>
    <w:multiLevelType w:val="hybridMultilevel"/>
    <w:tmpl w:val="AFA6F8AE"/>
    <w:lvl w:ilvl="0" w:tplc="704464E2">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15:restartNumberingAfterBreak="0">
    <w:nsid w:val="7F5662A3"/>
    <w:multiLevelType w:val="hybridMultilevel"/>
    <w:tmpl w:val="ADBC954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23"/>
  </w:num>
  <w:num w:numId="3">
    <w:abstractNumId w:val="8"/>
  </w:num>
  <w:num w:numId="4">
    <w:abstractNumId w:val="14"/>
  </w:num>
  <w:num w:numId="5">
    <w:abstractNumId w:val="28"/>
  </w:num>
  <w:num w:numId="6">
    <w:abstractNumId w:val="19"/>
  </w:num>
  <w:num w:numId="7">
    <w:abstractNumId w:val="26"/>
  </w:num>
  <w:num w:numId="8">
    <w:abstractNumId w:val="27"/>
  </w:num>
  <w:num w:numId="9">
    <w:abstractNumId w:val="0"/>
  </w:num>
  <w:num w:numId="10">
    <w:abstractNumId w:val="21"/>
  </w:num>
  <w:num w:numId="11">
    <w:abstractNumId w:val="33"/>
  </w:num>
  <w:num w:numId="12">
    <w:abstractNumId w:val="11"/>
  </w:num>
  <w:num w:numId="13">
    <w:abstractNumId w:val="38"/>
  </w:num>
  <w:num w:numId="14">
    <w:abstractNumId w:val="17"/>
  </w:num>
  <w:num w:numId="15">
    <w:abstractNumId w:val="12"/>
  </w:num>
  <w:num w:numId="16">
    <w:abstractNumId w:val="20"/>
  </w:num>
  <w:num w:numId="17">
    <w:abstractNumId w:val="5"/>
  </w:num>
  <w:num w:numId="18">
    <w:abstractNumId w:val="4"/>
  </w:num>
  <w:num w:numId="19">
    <w:abstractNumId w:val="41"/>
  </w:num>
  <w:num w:numId="20">
    <w:abstractNumId w:val="34"/>
  </w:num>
  <w:num w:numId="21">
    <w:abstractNumId w:val="31"/>
  </w:num>
  <w:num w:numId="22">
    <w:abstractNumId w:val="9"/>
  </w:num>
  <w:num w:numId="23">
    <w:abstractNumId w:val="7"/>
  </w:num>
  <w:num w:numId="24">
    <w:abstractNumId w:val="30"/>
  </w:num>
  <w:num w:numId="25">
    <w:abstractNumId w:val="15"/>
  </w:num>
  <w:num w:numId="26">
    <w:abstractNumId w:val="1"/>
  </w:num>
  <w:num w:numId="27">
    <w:abstractNumId w:val="39"/>
  </w:num>
  <w:num w:numId="28">
    <w:abstractNumId w:val="10"/>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40"/>
  </w:num>
  <w:num w:numId="32">
    <w:abstractNumId w:val="6"/>
  </w:num>
  <w:num w:numId="33">
    <w:abstractNumId w:val="3"/>
  </w:num>
  <w:num w:numId="34">
    <w:abstractNumId w:val="22"/>
  </w:num>
  <w:num w:numId="35">
    <w:abstractNumId w:val="24"/>
  </w:num>
  <w:num w:numId="36">
    <w:abstractNumId w:val="18"/>
  </w:num>
  <w:num w:numId="37">
    <w:abstractNumId w:val="13"/>
  </w:num>
  <w:num w:numId="38">
    <w:abstractNumId w:val="25"/>
  </w:num>
  <w:num w:numId="39">
    <w:abstractNumId w:val="36"/>
  </w:num>
  <w:num w:numId="40">
    <w:abstractNumId w:val="29"/>
  </w:num>
  <w:num w:numId="41">
    <w:abstractNumId w:val="32"/>
  </w:num>
  <w:num w:numId="42">
    <w:abstractNumId w:val="37"/>
  </w:num>
  <w:num w:numId="43">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gutterAtTop/>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E0"/>
    <w:rsid w:val="00000106"/>
    <w:rsid w:val="00000CF4"/>
    <w:rsid w:val="00001457"/>
    <w:rsid w:val="00004597"/>
    <w:rsid w:val="00006EC4"/>
    <w:rsid w:val="00007217"/>
    <w:rsid w:val="000129B4"/>
    <w:rsid w:val="00014C4B"/>
    <w:rsid w:val="00015B15"/>
    <w:rsid w:val="00021B5B"/>
    <w:rsid w:val="00026B87"/>
    <w:rsid w:val="00030306"/>
    <w:rsid w:val="000306B7"/>
    <w:rsid w:val="00031ABE"/>
    <w:rsid w:val="000348DE"/>
    <w:rsid w:val="00035FE3"/>
    <w:rsid w:val="00051BEE"/>
    <w:rsid w:val="00054578"/>
    <w:rsid w:val="0005475D"/>
    <w:rsid w:val="00054D1D"/>
    <w:rsid w:val="000553E8"/>
    <w:rsid w:val="00061D61"/>
    <w:rsid w:val="00063BBE"/>
    <w:rsid w:val="000733EA"/>
    <w:rsid w:val="00075CE0"/>
    <w:rsid w:val="0007637A"/>
    <w:rsid w:val="00076F7E"/>
    <w:rsid w:val="00077246"/>
    <w:rsid w:val="00077B6F"/>
    <w:rsid w:val="00081241"/>
    <w:rsid w:val="000834FF"/>
    <w:rsid w:val="0008431B"/>
    <w:rsid w:val="00085DA8"/>
    <w:rsid w:val="00086169"/>
    <w:rsid w:val="000914AA"/>
    <w:rsid w:val="00091A42"/>
    <w:rsid w:val="0009503C"/>
    <w:rsid w:val="00096F79"/>
    <w:rsid w:val="000974C2"/>
    <w:rsid w:val="000A26AD"/>
    <w:rsid w:val="000A579C"/>
    <w:rsid w:val="000A57BA"/>
    <w:rsid w:val="000A7049"/>
    <w:rsid w:val="000A7E8D"/>
    <w:rsid w:val="000B2DC8"/>
    <w:rsid w:val="000B4D3A"/>
    <w:rsid w:val="000B66A7"/>
    <w:rsid w:val="000C3000"/>
    <w:rsid w:val="000C4D57"/>
    <w:rsid w:val="000C68E7"/>
    <w:rsid w:val="000D3405"/>
    <w:rsid w:val="000D4913"/>
    <w:rsid w:val="000D4B3B"/>
    <w:rsid w:val="000D6EFE"/>
    <w:rsid w:val="000D6F27"/>
    <w:rsid w:val="000D7421"/>
    <w:rsid w:val="000D7A09"/>
    <w:rsid w:val="000E01B1"/>
    <w:rsid w:val="000E1F57"/>
    <w:rsid w:val="000E2852"/>
    <w:rsid w:val="000E2A7E"/>
    <w:rsid w:val="000E3E83"/>
    <w:rsid w:val="000E5774"/>
    <w:rsid w:val="000E5C77"/>
    <w:rsid w:val="000E749B"/>
    <w:rsid w:val="000F0FD7"/>
    <w:rsid w:val="000F695B"/>
    <w:rsid w:val="000F7DF1"/>
    <w:rsid w:val="0010149B"/>
    <w:rsid w:val="00103A4A"/>
    <w:rsid w:val="001047F9"/>
    <w:rsid w:val="0010540F"/>
    <w:rsid w:val="001067DB"/>
    <w:rsid w:val="001100A2"/>
    <w:rsid w:val="00111319"/>
    <w:rsid w:val="00114161"/>
    <w:rsid w:val="001145F0"/>
    <w:rsid w:val="0011582D"/>
    <w:rsid w:val="001218BF"/>
    <w:rsid w:val="00123B3A"/>
    <w:rsid w:val="00131042"/>
    <w:rsid w:val="00133109"/>
    <w:rsid w:val="00134932"/>
    <w:rsid w:val="00141BDE"/>
    <w:rsid w:val="00142561"/>
    <w:rsid w:val="0014378C"/>
    <w:rsid w:val="00144067"/>
    <w:rsid w:val="001469DB"/>
    <w:rsid w:val="0015698E"/>
    <w:rsid w:val="001574DD"/>
    <w:rsid w:val="00157713"/>
    <w:rsid w:val="001614F3"/>
    <w:rsid w:val="00161734"/>
    <w:rsid w:val="00163926"/>
    <w:rsid w:val="0016447D"/>
    <w:rsid w:val="00167646"/>
    <w:rsid w:val="001718BC"/>
    <w:rsid w:val="00181D51"/>
    <w:rsid w:val="00186B12"/>
    <w:rsid w:val="00186C88"/>
    <w:rsid w:val="00190164"/>
    <w:rsid w:val="00191F49"/>
    <w:rsid w:val="001957D7"/>
    <w:rsid w:val="001963A8"/>
    <w:rsid w:val="0019741C"/>
    <w:rsid w:val="001A0DEE"/>
    <w:rsid w:val="001A27D8"/>
    <w:rsid w:val="001A49F5"/>
    <w:rsid w:val="001B0FD6"/>
    <w:rsid w:val="001B1820"/>
    <w:rsid w:val="001B2461"/>
    <w:rsid w:val="001B319D"/>
    <w:rsid w:val="001B36A5"/>
    <w:rsid w:val="001B5608"/>
    <w:rsid w:val="001B5D94"/>
    <w:rsid w:val="001B758A"/>
    <w:rsid w:val="001B7A84"/>
    <w:rsid w:val="001C4AAB"/>
    <w:rsid w:val="001C5A61"/>
    <w:rsid w:val="001C69A5"/>
    <w:rsid w:val="001C73FC"/>
    <w:rsid w:val="001C7580"/>
    <w:rsid w:val="001C7A10"/>
    <w:rsid w:val="001D192A"/>
    <w:rsid w:val="001D2C3A"/>
    <w:rsid w:val="001D364E"/>
    <w:rsid w:val="001D373E"/>
    <w:rsid w:val="001D5FB3"/>
    <w:rsid w:val="001D6CAE"/>
    <w:rsid w:val="001E3BAE"/>
    <w:rsid w:val="001E4F70"/>
    <w:rsid w:val="001E5B17"/>
    <w:rsid w:val="001E60D2"/>
    <w:rsid w:val="001E63FD"/>
    <w:rsid w:val="001E6EB8"/>
    <w:rsid w:val="001F3557"/>
    <w:rsid w:val="001F362F"/>
    <w:rsid w:val="001F53BE"/>
    <w:rsid w:val="00204367"/>
    <w:rsid w:val="002060E7"/>
    <w:rsid w:val="002066A3"/>
    <w:rsid w:val="00207AFB"/>
    <w:rsid w:val="002105D7"/>
    <w:rsid w:val="002140F9"/>
    <w:rsid w:val="002145C9"/>
    <w:rsid w:val="00217D69"/>
    <w:rsid w:val="00221AE5"/>
    <w:rsid w:val="00222B19"/>
    <w:rsid w:val="00224E00"/>
    <w:rsid w:val="0022691B"/>
    <w:rsid w:val="00231A6B"/>
    <w:rsid w:val="00234011"/>
    <w:rsid w:val="00234D17"/>
    <w:rsid w:val="0024175C"/>
    <w:rsid w:val="00242B07"/>
    <w:rsid w:val="00243B9C"/>
    <w:rsid w:val="00244573"/>
    <w:rsid w:val="00251A4E"/>
    <w:rsid w:val="00251AE0"/>
    <w:rsid w:val="002536B0"/>
    <w:rsid w:val="0025392F"/>
    <w:rsid w:val="00254372"/>
    <w:rsid w:val="002546B3"/>
    <w:rsid w:val="00254A86"/>
    <w:rsid w:val="00256F32"/>
    <w:rsid w:val="0026380B"/>
    <w:rsid w:val="00265063"/>
    <w:rsid w:val="002667DC"/>
    <w:rsid w:val="00266FF7"/>
    <w:rsid w:val="002701A4"/>
    <w:rsid w:val="002733EB"/>
    <w:rsid w:val="0027492D"/>
    <w:rsid w:val="00274EB8"/>
    <w:rsid w:val="00276EDA"/>
    <w:rsid w:val="00281A45"/>
    <w:rsid w:val="0028282B"/>
    <w:rsid w:val="00283736"/>
    <w:rsid w:val="00290EE6"/>
    <w:rsid w:val="00292B52"/>
    <w:rsid w:val="00293005"/>
    <w:rsid w:val="0029400E"/>
    <w:rsid w:val="00297BA0"/>
    <w:rsid w:val="002A3D2A"/>
    <w:rsid w:val="002A686C"/>
    <w:rsid w:val="002B132E"/>
    <w:rsid w:val="002B180A"/>
    <w:rsid w:val="002B3C01"/>
    <w:rsid w:val="002B4457"/>
    <w:rsid w:val="002C1D66"/>
    <w:rsid w:val="002C4823"/>
    <w:rsid w:val="002C5304"/>
    <w:rsid w:val="002C6A56"/>
    <w:rsid w:val="002C76C0"/>
    <w:rsid w:val="002D0865"/>
    <w:rsid w:val="002D0981"/>
    <w:rsid w:val="002D3819"/>
    <w:rsid w:val="002D3AD7"/>
    <w:rsid w:val="002D4458"/>
    <w:rsid w:val="002D6623"/>
    <w:rsid w:val="002E6068"/>
    <w:rsid w:val="002F2782"/>
    <w:rsid w:val="002F5F3F"/>
    <w:rsid w:val="002F6E44"/>
    <w:rsid w:val="00300976"/>
    <w:rsid w:val="0030374A"/>
    <w:rsid w:val="00304D01"/>
    <w:rsid w:val="003059BA"/>
    <w:rsid w:val="00307644"/>
    <w:rsid w:val="00312485"/>
    <w:rsid w:val="003125B6"/>
    <w:rsid w:val="003129C0"/>
    <w:rsid w:val="00312BF8"/>
    <w:rsid w:val="00314EEA"/>
    <w:rsid w:val="00316000"/>
    <w:rsid w:val="00316D0C"/>
    <w:rsid w:val="00320BF9"/>
    <w:rsid w:val="00322C89"/>
    <w:rsid w:val="00323BFF"/>
    <w:rsid w:val="003250CA"/>
    <w:rsid w:val="00325652"/>
    <w:rsid w:val="003321A4"/>
    <w:rsid w:val="00332DBD"/>
    <w:rsid w:val="003348A5"/>
    <w:rsid w:val="00340F30"/>
    <w:rsid w:val="0034194B"/>
    <w:rsid w:val="00341BEF"/>
    <w:rsid w:val="00350DB3"/>
    <w:rsid w:val="00353865"/>
    <w:rsid w:val="00353B12"/>
    <w:rsid w:val="00354344"/>
    <w:rsid w:val="003543E9"/>
    <w:rsid w:val="003570CA"/>
    <w:rsid w:val="003606E7"/>
    <w:rsid w:val="00362440"/>
    <w:rsid w:val="003724B5"/>
    <w:rsid w:val="00377038"/>
    <w:rsid w:val="00377C27"/>
    <w:rsid w:val="00381B8E"/>
    <w:rsid w:val="00382A9A"/>
    <w:rsid w:val="00383474"/>
    <w:rsid w:val="00383889"/>
    <w:rsid w:val="003852B4"/>
    <w:rsid w:val="003926C2"/>
    <w:rsid w:val="00392EA7"/>
    <w:rsid w:val="0039320B"/>
    <w:rsid w:val="0039375E"/>
    <w:rsid w:val="00395E8C"/>
    <w:rsid w:val="00396374"/>
    <w:rsid w:val="00397219"/>
    <w:rsid w:val="00397E65"/>
    <w:rsid w:val="003A4AE6"/>
    <w:rsid w:val="003A5DF9"/>
    <w:rsid w:val="003A69BE"/>
    <w:rsid w:val="003A69C4"/>
    <w:rsid w:val="003A6A3E"/>
    <w:rsid w:val="003A7933"/>
    <w:rsid w:val="003B04ED"/>
    <w:rsid w:val="003B596B"/>
    <w:rsid w:val="003B5F0D"/>
    <w:rsid w:val="003C49FC"/>
    <w:rsid w:val="003C4F82"/>
    <w:rsid w:val="003D551E"/>
    <w:rsid w:val="003D5C2D"/>
    <w:rsid w:val="003D6BC3"/>
    <w:rsid w:val="003D76ED"/>
    <w:rsid w:val="003D7F2A"/>
    <w:rsid w:val="003E1651"/>
    <w:rsid w:val="003E20DF"/>
    <w:rsid w:val="003E2EAB"/>
    <w:rsid w:val="003E3F88"/>
    <w:rsid w:val="003E515C"/>
    <w:rsid w:val="003F08AB"/>
    <w:rsid w:val="00401D5E"/>
    <w:rsid w:val="00402DFA"/>
    <w:rsid w:val="00406C13"/>
    <w:rsid w:val="00406CDD"/>
    <w:rsid w:val="00410A58"/>
    <w:rsid w:val="00413942"/>
    <w:rsid w:val="00415BD6"/>
    <w:rsid w:val="00415EC1"/>
    <w:rsid w:val="004261E8"/>
    <w:rsid w:val="00427274"/>
    <w:rsid w:val="00427917"/>
    <w:rsid w:val="0043095E"/>
    <w:rsid w:val="0043250C"/>
    <w:rsid w:val="00432D9D"/>
    <w:rsid w:val="0043516A"/>
    <w:rsid w:val="00437B9A"/>
    <w:rsid w:val="00437D26"/>
    <w:rsid w:val="004414B2"/>
    <w:rsid w:val="00441D34"/>
    <w:rsid w:val="00441EBE"/>
    <w:rsid w:val="004435C3"/>
    <w:rsid w:val="00443FC0"/>
    <w:rsid w:val="0044592D"/>
    <w:rsid w:val="00446A20"/>
    <w:rsid w:val="00447C48"/>
    <w:rsid w:val="00451230"/>
    <w:rsid w:val="00451D02"/>
    <w:rsid w:val="00453F7F"/>
    <w:rsid w:val="00454CEE"/>
    <w:rsid w:val="00455588"/>
    <w:rsid w:val="00456FD5"/>
    <w:rsid w:val="00462C7C"/>
    <w:rsid w:val="004654AB"/>
    <w:rsid w:val="0047341E"/>
    <w:rsid w:val="00480561"/>
    <w:rsid w:val="004812B1"/>
    <w:rsid w:val="0048272D"/>
    <w:rsid w:val="00482BA3"/>
    <w:rsid w:val="00482D4B"/>
    <w:rsid w:val="00484C6F"/>
    <w:rsid w:val="00490548"/>
    <w:rsid w:val="00490A86"/>
    <w:rsid w:val="00490CF4"/>
    <w:rsid w:val="00495881"/>
    <w:rsid w:val="00497063"/>
    <w:rsid w:val="004972C1"/>
    <w:rsid w:val="00497CA7"/>
    <w:rsid w:val="004A1829"/>
    <w:rsid w:val="004A228A"/>
    <w:rsid w:val="004A4B59"/>
    <w:rsid w:val="004A6AC3"/>
    <w:rsid w:val="004A6AD3"/>
    <w:rsid w:val="004B00D8"/>
    <w:rsid w:val="004B3D83"/>
    <w:rsid w:val="004B4401"/>
    <w:rsid w:val="004B5481"/>
    <w:rsid w:val="004B674A"/>
    <w:rsid w:val="004C2335"/>
    <w:rsid w:val="004C4F56"/>
    <w:rsid w:val="004C5674"/>
    <w:rsid w:val="004C57B9"/>
    <w:rsid w:val="004C5BE3"/>
    <w:rsid w:val="004D5C5E"/>
    <w:rsid w:val="004D7251"/>
    <w:rsid w:val="004D7354"/>
    <w:rsid w:val="004E1000"/>
    <w:rsid w:val="004E6171"/>
    <w:rsid w:val="004F0BFF"/>
    <w:rsid w:val="004F29D0"/>
    <w:rsid w:val="00500597"/>
    <w:rsid w:val="005040CC"/>
    <w:rsid w:val="0050680A"/>
    <w:rsid w:val="00506C2C"/>
    <w:rsid w:val="00507FE7"/>
    <w:rsid w:val="00511CFB"/>
    <w:rsid w:val="00512A5C"/>
    <w:rsid w:val="00520CC1"/>
    <w:rsid w:val="00521788"/>
    <w:rsid w:val="00523619"/>
    <w:rsid w:val="005262C2"/>
    <w:rsid w:val="00526A4E"/>
    <w:rsid w:val="00526BE3"/>
    <w:rsid w:val="00530592"/>
    <w:rsid w:val="00530F82"/>
    <w:rsid w:val="00532D9F"/>
    <w:rsid w:val="00541CCB"/>
    <w:rsid w:val="00542F92"/>
    <w:rsid w:val="005431AB"/>
    <w:rsid w:val="005437AE"/>
    <w:rsid w:val="005446D6"/>
    <w:rsid w:val="0054581D"/>
    <w:rsid w:val="005538F2"/>
    <w:rsid w:val="00553E10"/>
    <w:rsid w:val="005541A1"/>
    <w:rsid w:val="00556A75"/>
    <w:rsid w:val="00557333"/>
    <w:rsid w:val="00557B13"/>
    <w:rsid w:val="00561051"/>
    <w:rsid w:val="00565974"/>
    <w:rsid w:val="0056762A"/>
    <w:rsid w:val="00567E59"/>
    <w:rsid w:val="00571300"/>
    <w:rsid w:val="0057131B"/>
    <w:rsid w:val="00571854"/>
    <w:rsid w:val="005746E0"/>
    <w:rsid w:val="00575AEE"/>
    <w:rsid w:val="00575DC4"/>
    <w:rsid w:val="0057721C"/>
    <w:rsid w:val="0058009C"/>
    <w:rsid w:val="005802DD"/>
    <w:rsid w:val="005808AD"/>
    <w:rsid w:val="00582740"/>
    <w:rsid w:val="005829A9"/>
    <w:rsid w:val="005850E0"/>
    <w:rsid w:val="00585995"/>
    <w:rsid w:val="005864B9"/>
    <w:rsid w:val="00586D2A"/>
    <w:rsid w:val="00590565"/>
    <w:rsid w:val="00593409"/>
    <w:rsid w:val="005A3003"/>
    <w:rsid w:val="005A30AC"/>
    <w:rsid w:val="005A3223"/>
    <w:rsid w:val="005A57F8"/>
    <w:rsid w:val="005B533B"/>
    <w:rsid w:val="005C00BE"/>
    <w:rsid w:val="005C52B7"/>
    <w:rsid w:val="005C6B88"/>
    <w:rsid w:val="005D0291"/>
    <w:rsid w:val="005D1E53"/>
    <w:rsid w:val="005D67B1"/>
    <w:rsid w:val="005E087B"/>
    <w:rsid w:val="005E15AE"/>
    <w:rsid w:val="005E1FF5"/>
    <w:rsid w:val="005E4F88"/>
    <w:rsid w:val="005F04ED"/>
    <w:rsid w:val="005F1054"/>
    <w:rsid w:val="005F1999"/>
    <w:rsid w:val="005F2B04"/>
    <w:rsid w:val="005F44EA"/>
    <w:rsid w:val="005F5967"/>
    <w:rsid w:val="005F7EE9"/>
    <w:rsid w:val="00601679"/>
    <w:rsid w:val="00601AB7"/>
    <w:rsid w:val="00602E93"/>
    <w:rsid w:val="00603AE9"/>
    <w:rsid w:val="00604CEE"/>
    <w:rsid w:val="006069E2"/>
    <w:rsid w:val="00612999"/>
    <w:rsid w:val="00612C82"/>
    <w:rsid w:val="00613434"/>
    <w:rsid w:val="006139DB"/>
    <w:rsid w:val="00614FE3"/>
    <w:rsid w:val="0062427A"/>
    <w:rsid w:val="00625EB2"/>
    <w:rsid w:val="00626240"/>
    <w:rsid w:val="00626DFF"/>
    <w:rsid w:val="00627518"/>
    <w:rsid w:val="0063090F"/>
    <w:rsid w:val="00633BD9"/>
    <w:rsid w:val="006362A0"/>
    <w:rsid w:val="0063676F"/>
    <w:rsid w:val="00636B2C"/>
    <w:rsid w:val="0063729F"/>
    <w:rsid w:val="006417ED"/>
    <w:rsid w:val="00642B7A"/>
    <w:rsid w:val="006502B8"/>
    <w:rsid w:val="00657E73"/>
    <w:rsid w:val="00660ABF"/>
    <w:rsid w:val="0066758C"/>
    <w:rsid w:val="0067374F"/>
    <w:rsid w:val="00673BC6"/>
    <w:rsid w:val="006744D9"/>
    <w:rsid w:val="00675B35"/>
    <w:rsid w:val="00677C19"/>
    <w:rsid w:val="00680D82"/>
    <w:rsid w:val="00681CA9"/>
    <w:rsid w:val="00681F76"/>
    <w:rsid w:val="006824CC"/>
    <w:rsid w:val="00683DF1"/>
    <w:rsid w:val="00684FE4"/>
    <w:rsid w:val="0068527F"/>
    <w:rsid w:val="00685927"/>
    <w:rsid w:val="00685FA1"/>
    <w:rsid w:val="00687CFF"/>
    <w:rsid w:val="006946D7"/>
    <w:rsid w:val="00695959"/>
    <w:rsid w:val="006A221F"/>
    <w:rsid w:val="006B0A57"/>
    <w:rsid w:val="006B17C6"/>
    <w:rsid w:val="006B3AA3"/>
    <w:rsid w:val="006B7388"/>
    <w:rsid w:val="006C4E33"/>
    <w:rsid w:val="006C57B6"/>
    <w:rsid w:val="006C59BC"/>
    <w:rsid w:val="006D26E6"/>
    <w:rsid w:val="006D33C3"/>
    <w:rsid w:val="006D6C20"/>
    <w:rsid w:val="006D7F9F"/>
    <w:rsid w:val="006E3AA7"/>
    <w:rsid w:val="006E3ECB"/>
    <w:rsid w:val="006E5BBB"/>
    <w:rsid w:val="006E74D0"/>
    <w:rsid w:val="006F1FD7"/>
    <w:rsid w:val="006F54A8"/>
    <w:rsid w:val="006F5616"/>
    <w:rsid w:val="006F65EB"/>
    <w:rsid w:val="006F727D"/>
    <w:rsid w:val="007044B6"/>
    <w:rsid w:val="007056D2"/>
    <w:rsid w:val="00705F80"/>
    <w:rsid w:val="00707B07"/>
    <w:rsid w:val="00712369"/>
    <w:rsid w:val="00716745"/>
    <w:rsid w:val="00716B20"/>
    <w:rsid w:val="007219E7"/>
    <w:rsid w:val="00723614"/>
    <w:rsid w:val="0072392B"/>
    <w:rsid w:val="00723D26"/>
    <w:rsid w:val="007276F9"/>
    <w:rsid w:val="007305B8"/>
    <w:rsid w:val="00730FEE"/>
    <w:rsid w:val="0073225F"/>
    <w:rsid w:val="0073380E"/>
    <w:rsid w:val="0073578A"/>
    <w:rsid w:val="00736FC3"/>
    <w:rsid w:val="00737FC1"/>
    <w:rsid w:val="00743EB0"/>
    <w:rsid w:val="00743F94"/>
    <w:rsid w:val="00746067"/>
    <w:rsid w:val="0074640D"/>
    <w:rsid w:val="007464FE"/>
    <w:rsid w:val="00746B10"/>
    <w:rsid w:val="00750F2D"/>
    <w:rsid w:val="00750F8D"/>
    <w:rsid w:val="00751469"/>
    <w:rsid w:val="00752E46"/>
    <w:rsid w:val="00754B8B"/>
    <w:rsid w:val="007551A5"/>
    <w:rsid w:val="00762E09"/>
    <w:rsid w:val="007654A5"/>
    <w:rsid w:val="00765EFE"/>
    <w:rsid w:val="007723C4"/>
    <w:rsid w:val="00775095"/>
    <w:rsid w:val="00777B33"/>
    <w:rsid w:val="00777D4F"/>
    <w:rsid w:val="00777F0F"/>
    <w:rsid w:val="00780169"/>
    <w:rsid w:val="007814A4"/>
    <w:rsid w:val="00782601"/>
    <w:rsid w:val="00785B7B"/>
    <w:rsid w:val="00785B95"/>
    <w:rsid w:val="00786989"/>
    <w:rsid w:val="00787016"/>
    <w:rsid w:val="00787970"/>
    <w:rsid w:val="007905E6"/>
    <w:rsid w:val="00790A6F"/>
    <w:rsid w:val="007916DC"/>
    <w:rsid w:val="00791786"/>
    <w:rsid w:val="007926E4"/>
    <w:rsid w:val="00796D16"/>
    <w:rsid w:val="00796EEB"/>
    <w:rsid w:val="007A2971"/>
    <w:rsid w:val="007A2C7B"/>
    <w:rsid w:val="007A37D5"/>
    <w:rsid w:val="007A40F2"/>
    <w:rsid w:val="007A4567"/>
    <w:rsid w:val="007A4812"/>
    <w:rsid w:val="007A537D"/>
    <w:rsid w:val="007B0D99"/>
    <w:rsid w:val="007B3527"/>
    <w:rsid w:val="007B5F5B"/>
    <w:rsid w:val="007C0BF7"/>
    <w:rsid w:val="007C331C"/>
    <w:rsid w:val="007D0AE8"/>
    <w:rsid w:val="007D5C96"/>
    <w:rsid w:val="007E0B5B"/>
    <w:rsid w:val="007F5034"/>
    <w:rsid w:val="007F6F1D"/>
    <w:rsid w:val="007F7429"/>
    <w:rsid w:val="0080552A"/>
    <w:rsid w:val="008131E5"/>
    <w:rsid w:val="00814406"/>
    <w:rsid w:val="008168F4"/>
    <w:rsid w:val="00816D5A"/>
    <w:rsid w:val="00817F4A"/>
    <w:rsid w:val="00820ABE"/>
    <w:rsid w:val="00822954"/>
    <w:rsid w:val="0082628A"/>
    <w:rsid w:val="00830007"/>
    <w:rsid w:val="00832599"/>
    <w:rsid w:val="00833B04"/>
    <w:rsid w:val="00834A13"/>
    <w:rsid w:val="00835FB1"/>
    <w:rsid w:val="00840F27"/>
    <w:rsid w:val="008448FC"/>
    <w:rsid w:val="00845E01"/>
    <w:rsid w:val="0084667B"/>
    <w:rsid w:val="008470C2"/>
    <w:rsid w:val="00847724"/>
    <w:rsid w:val="008478A9"/>
    <w:rsid w:val="00856F20"/>
    <w:rsid w:val="008574DE"/>
    <w:rsid w:val="00861A39"/>
    <w:rsid w:val="00861FC1"/>
    <w:rsid w:val="00862A2E"/>
    <w:rsid w:val="00862AB4"/>
    <w:rsid w:val="00864C31"/>
    <w:rsid w:val="008653E7"/>
    <w:rsid w:val="0086725C"/>
    <w:rsid w:val="00867A5C"/>
    <w:rsid w:val="00867C43"/>
    <w:rsid w:val="00870997"/>
    <w:rsid w:val="0087423B"/>
    <w:rsid w:val="00875593"/>
    <w:rsid w:val="0087581E"/>
    <w:rsid w:val="008770B0"/>
    <w:rsid w:val="00880926"/>
    <w:rsid w:val="00882196"/>
    <w:rsid w:val="00885F44"/>
    <w:rsid w:val="00890CA0"/>
    <w:rsid w:val="00892781"/>
    <w:rsid w:val="00892A3E"/>
    <w:rsid w:val="00893B25"/>
    <w:rsid w:val="008941F4"/>
    <w:rsid w:val="008959B2"/>
    <w:rsid w:val="008A3519"/>
    <w:rsid w:val="008A4B58"/>
    <w:rsid w:val="008A57E3"/>
    <w:rsid w:val="008A66D9"/>
    <w:rsid w:val="008B3379"/>
    <w:rsid w:val="008B4254"/>
    <w:rsid w:val="008B4B32"/>
    <w:rsid w:val="008B533A"/>
    <w:rsid w:val="008B6B21"/>
    <w:rsid w:val="008C14FC"/>
    <w:rsid w:val="008C1EB3"/>
    <w:rsid w:val="008C2544"/>
    <w:rsid w:val="008C31FA"/>
    <w:rsid w:val="008C53C4"/>
    <w:rsid w:val="008C5F65"/>
    <w:rsid w:val="008D5065"/>
    <w:rsid w:val="008F38C5"/>
    <w:rsid w:val="008F3B4D"/>
    <w:rsid w:val="0090038C"/>
    <w:rsid w:val="009006D7"/>
    <w:rsid w:val="009100D9"/>
    <w:rsid w:val="00910A3F"/>
    <w:rsid w:val="009157E7"/>
    <w:rsid w:val="009159B9"/>
    <w:rsid w:val="00916856"/>
    <w:rsid w:val="009168BD"/>
    <w:rsid w:val="009173C2"/>
    <w:rsid w:val="0091795B"/>
    <w:rsid w:val="009210DD"/>
    <w:rsid w:val="00921E07"/>
    <w:rsid w:val="00924D20"/>
    <w:rsid w:val="00926CB2"/>
    <w:rsid w:val="00926FA7"/>
    <w:rsid w:val="00931A82"/>
    <w:rsid w:val="0093469A"/>
    <w:rsid w:val="009374A9"/>
    <w:rsid w:val="0093753A"/>
    <w:rsid w:val="00941305"/>
    <w:rsid w:val="00941781"/>
    <w:rsid w:val="009423B6"/>
    <w:rsid w:val="009425EF"/>
    <w:rsid w:val="00945674"/>
    <w:rsid w:val="0094693D"/>
    <w:rsid w:val="00950CEF"/>
    <w:rsid w:val="0095316D"/>
    <w:rsid w:val="009534C3"/>
    <w:rsid w:val="0095416C"/>
    <w:rsid w:val="009555D3"/>
    <w:rsid w:val="009567F5"/>
    <w:rsid w:val="0095729F"/>
    <w:rsid w:val="00960AEF"/>
    <w:rsid w:val="00961F47"/>
    <w:rsid w:val="00965406"/>
    <w:rsid w:val="009662C7"/>
    <w:rsid w:val="009663DE"/>
    <w:rsid w:val="00967207"/>
    <w:rsid w:val="00967B94"/>
    <w:rsid w:val="00977E67"/>
    <w:rsid w:val="00980F31"/>
    <w:rsid w:val="00983C57"/>
    <w:rsid w:val="00983E17"/>
    <w:rsid w:val="009848C2"/>
    <w:rsid w:val="00984D07"/>
    <w:rsid w:val="00985B4D"/>
    <w:rsid w:val="00985C08"/>
    <w:rsid w:val="00987769"/>
    <w:rsid w:val="0099029D"/>
    <w:rsid w:val="009925A7"/>
    <w:rsid w:val="00992A58"/>
    <w:rsid w:val="00992FB6"/>
    <w:rsid w:val="00994D1B"/>
    <w:rsid w:val="0099592B"/>
    <w:rsid w:val="00995E53"/>
    <w:rsid w:val="00996D92"/>
    <w:rsid w:val="009A2F9E"/>
    <w:rsid w:val="009A3326"/>
    <w:rsid w:val="009A7656"/>
    <w:rsid w:val="009B4C08"/>
    <w:rsid w:val="009B4E5C"/>
    <w:rsid w:val="009B5371"/>
    <w:rsid w:val="009C02C3"/>
    <w:rsid w:val="009C222A"/>
    <w:rsid w:val="009C268F"/>
    <w:rsid w:val="009C2F40"/>
    <w:rsid w:val="009C56BD"/>
    <w:rsid w:val="009C62A4"/>
    <w:rsid w:val="009C6D12"/>
    <w:rsid w:val="009C717D"/>
    <w:rsid w:val="009D1C68"/>
    <w:rsid w:val="009D29DE"/>
    <w:rsid w:val="009D300F"/>
    <w:rsid w:val="009D31D9"/>
    <w:rsid w:val="009D427E"/>
    <w:rsid w:val="009D5B26"/>
    <w:rsid w:val="009D7A6E"/>
    <w:rsid w:val="009E1F80"/>
    <w:rsid w:val="009E20E6"/>
    <w:rsid w:val="009E73C4"/>
    <w:rsid w:val="009E73F2"/>
    <w:rsid w:val="009F1064"/>
    <w:rsid w:val="009F12F2"/>
    <w:rsid w:val="009F1D57"/>
    <w:rsid w:val="009F3093"/>
    <w:rsid w:val="009F3473"/>
    <w:rsid w:val="009F6287"/>
    <w:rsid w:val="009F7CBC"/>
    <w:rsid w:val="00A002DB"/>
    <w:rsid w:val="00A02380"/>
    <w:rsid w:val="00A0308D"/>
    <w:rsid w:val="00A04621"/>
    <w:rsid w:val="00A1010C"/>
    <w:rsid w:val="00A10EB1"/>
    <w:rsid w:val="00A11033"/>
    <w:rsid w:val="00A1157C"/>
    <w:rsid w:val="00A17026"/>
    <w:rsid w:val="00A20072"/>
    <w:rsid w:val="00A217CE"/>
    <w:rsid w:val="00A2247A"/>
    <w:rsid w:val="00A23620"/>
    <w:rsid w:val="00A23FD8"/>
    <w:rsid w:val="00A308D1"/>
    <w:rsid w:val="00A32BFE"/>
    <w:rsid w:val="00A33D00"/>
    <w:rsid w:val="00A355AA"/>
    <w:rsid w:val="00A35DD9"/>
    <w:rsid w:val="00A366CA"/>
    <w:rsid w:val="00A426D7"/>
    <w:rsid w:val="00A428B6"/>
    <w:rsid w:val="00A42972"/>
    <w:rsid w:val="00A45BF1"/>
    <w:rsid w:val="00A50C19"/>
    <w:rsid w:val="00A525FE"/>
    <w:rsid w:val="00A52D3C"/>
    <w:rsid w:val="00A53EBF"/>
    <w:rsid w:val="00A540B5"/>
    <w:rsid w:val="00A56041"/>
    <w:rsid w:val="00A60DAA"/>
    <w:rsid w:val="00A6103A"/>
    <w:rsid w:val="00A633B8"/>
    <w:rsid w:val="00A6355D"/>
    <w:rsid w:val="00A70BC1"/>
    <w:rsid w:val="00A71858"/>
    <w:rsid w:val="00A731C5"/>
    <w:rsid w:val="00A755B5"/>
    <w:rsid w:val="00A760FF"/>
    <w:rsid w:val="00A86688"/>
    <w:rsid w:val="00A87A92"/>
    <w:rsid w:val="00A92243"/>
    <w:rsid w:val="00A938D0"/>
    <w:rsid w:val="00A93CB2"/>
    <w:rsid w:val="00A94FEB"/>
    <w:rsid w:val="00A973EA"/>
    <w:rsid w:val="00A977C3"/>
    <w:rsid w:val="00AA0329"/>
    <w:rsid w:val="00AA173D"/>
    <w:rsid w:val="00AA46AA"/>
    <w:rsid w:val="00AA52CD"/>
    <w:rsid w:val="00AB4499"/>
    <w:rsid w:val="00AB4F5A"/>
    <w:rsid w:val="00AB67F5"/>
    <w:rsid w:val="00AC0CE0"/>
    <w:rsid w:val="00AC18F9"/>
    <w:rsid w:val="00AC4AD7"/>
    <w:rsid w:val="00AC4E62"/>
    <w:rsid w:val="00AC629D"/>
    <w:rsid w:val="00AD0872"/>
    <w:rsid w:val="00AD141B"/>
    <w:rsid w:val="00AD213F"/>
    <w:rsid w:val="00AD7E3C"/>
    <w:rsid w:val="00AE0C49"/>
    <w:rsid w:val="00AE1679"/>
    <w:rsid w:val="00AE17D1"/>
    <w:rsid w:val="00AE263C"/>
    <w:rsid w:val="00AE2BB8"/>
    <w:rsid w:val="00AE55A1"/>
    <w:rsid w:val="00AE7568"/>
    <w:rsid w:val="00AF0010"/>
    <w:rsid w:val="00AF011A"/>
    <w:rsid w:val="00AF2184"/>
    <w:rsid w:val="00AF3CF2"/>
    <w:rsid w:val="00AF7F63"/>
    <w:rsid w:val="00B00430"/>
    <w:rsid w:val="00B00FF6"/>
    <w:rsid w:val="00B04427"/>
    <w:rsid w:val="00B05A8B"/>
    <w:rsid w:val="00B11C3C"/>
    <w:rsid w:val="00B154B9"/>
    <w:rsid w:val="00B16328"/>
    <w:rsid w:val="00B20239"/>
    <w:rsid w:val="00B21DC4"/>
    <w:rsid w:val="00B23AA2"/>
    <w:rsid w:val="00B276CD"/>
    <w:rsid w:val="00B308DF"/>
    <w:rsid w:val="00B31029"/>
    <w:rsid w:val="00B315D4"/>
    <w:rsid w:val="00B33E94"/>
    <w:rsid w:val="00B3435C"/>
    <w:rsid w:val="00B35664"/>
    <w:rsid w:val="00B42627"/>
    <w:rsid w:val="00B4370D"/>
    <w:rsid w:val="00B46E6F"/>
    <w:rsid w:val="00B47F27"/>
    <w:rsid w:val="00B51090"/>
    <w:rsid w:val="00B5124B"/>
    <w:rsid w:val="00B5171C"/>
    <w:rsid w:val="00B5210A"/>
    <w:rsid w:val="00B526F9"/>
    <w:rsid w:val="00B52B4A"/>
    <w:rsid w:val="00B53E1A"/>
    <w:rsid w:val="00B605CD"/>
    <w:rsid w:val="00B64512"/>
    <w:rsid w:val="00B65ACD"/>
    <w:rsid w:val="00B66801"/>
    <w:rsid w:val="00B67AC5"/>
    <w:rsid w:val="00B70B40"/>
    <w:rsid w:val="00B71142"/>
    <w:rsid w:val="00B747D4"/>
    <w:rsid w:val="00B76DC4"/>
    <w:rsid w:val="00B774FE"/>
    <w:rsid w:val="00B84F25"/>
    <w:rsid w:val="00B8745F"/>
    <w:rsid w:val="00B902A4"/>
    <w:rsid w:val="00B93F6E"/>
    <w:rsid w:val="00B96F6A"/>
    <w:rsid w:val="00BA112D"/>
    <w:rsid w:val="00BA1D47"/>
    <w:rsid w:val="00BA2AED"/>
    <w:rsid w:val="00BA5901"/>
    <w:rsid w:val="00BB597C"/>
    <w:rsid w:val="00BB6C59"/>
    <w:rsid w:val="00BC49D9"/>
    <w:rsid w:val="00BC4F7B"/>
    <w:rsid w:val="00BD12EE"/>
    <w:rsid w:val="00BD3F3D"/>
    <w:rsid w:val="00BD44B7"/>
    <w:rsid w:val="00BD64BA"/>
    <w:rsid w:val="00BF10B3"/>
    <w:rsid w:val="00BF19A9"/>
    <w:rsid w:val="00BF226D"/>
    <w:rsid w:val="00BF2373"/>
    <w:rsid w:val="00BF2509"/>
    <w:rsid w:val="00BF32A6"/>
    <w:rsid w:val="00BF4E69"/>
    <w:rsid w:val="00BF5819"/>
    <w:rsid w:val="00BF64BB"/>
    <w:rsid w:val="00BF666C"/>
    <w:rsid w:val="00C02DFA"/>
    <w:rsid w:val="00C03113"/>
    <w:rsid w:val="00C040FF"/>
    <w:rsid w:val="00C042FC"/>
    <w:rsid w:val="00C05D01"/>
    <w:rsid w:val="00C05D1A"/>
    <w:rsid w:val="00C06319"/>
    <w:rsid w:val="00C0677F"/>
    <w:rsid w:val="00C07A24"/>
    <w:rsid w:val="00C11172"/>
    <w:rsid w:val="00C13CF4"/>
    <w:rsid w:val="00C145CB"/>
    <w:rsid w:val="00C1572D"/>
    <w:rsid w:val="00C17127"/>
    <w:rsid w:val="00C2335B"/>
    <w:rsid w:val="00C2477D"/>
    <w:rsid w:val="00C2708E"/>
    <w:rsid w:val="00C2723E"/>
    <w:rsid w:val="00C27E76"/>
    <w:rsid w:val="00C30A8E"/>
    <w:rsid w:val="00C33E74"/>
    <w:rsid w:val="00C35492"/>
    <w:rsid w:val="00C40C8E"/>
    <w:rsid w:val="00C442B5"/>
    <w:rsid w:val="00C452D5"/>
    <w:rsid w:val="00C47A8F"/>
    <w:rsid w:val="00C47D8D"/>
    <w:rsid w:val="00C520E6"/>
    <w:rsid w:val="00C52A7C"/>
    <w:rsid w:val="00C61097"/>
    <w:rsid w:val="00C6128E"/>
    <w:rsid w:val="00C6356D"/>
    <w:rsid w:val="00C658A9"/>
    <w:rsid w:val="00C70900"/>
    <w:rsid w:val="00C71564"/>
    <w:rsid w:val="00C74719"/>
    <w:rsid w:val="00C74905"/>
    <w:rsid w:val="00C74F32"/>
    <w:rsid w:val="00C758FD"/>
    <w:rsid w:val="00C75F56"/>
    <w:rsid w:val="00C76026"/>
    <w:rsid w:val="00C76261"/>
    <w:rsid w:val="00C76E7F"/>
    <w:rsid w:val="00C81800"/>
    <w:rsid w:val="00C82678"/>
    <w:rsid w:val="00C85CAD"/>
    <w:rsid w:val="00C8610D"/>
    <w:rsid w:val="00C869C3"/>
    <w:rsid w:val="00C8712C"/>
    <w:rsid w:val="00C87983"/>
    <w:rsid w:val="00C90301"/>
    <w:rsid w:val="00C90457"/>
    <w:rsid w:val="00C91942"/>
    <w:rsid w:val="00C92582"/>
    <w:rsid w:val="00C9381C"/>
    <w:rsid w:val="00C9533B"/>
    <w:rsid w:val="00C96A6F"/>
    <w:rsid w:val="00C97218"/>
    <w:rsid w:val="00C97309"/>
    <w:rsid w:val="00C974E3"/>
    <w:rsid w:val="00C974FE"/>
    <w:rsid w:val="00C97AAE"/>
    <w:rsid w:val="00CB05D3"/>
    <w:rsid w:val="00CB091E"/>
    <w:rsid w:val="00CB0FCF"/>
    <w:rsid w:val="00CB4638"/>
    <w:rsid w:val="00CB4AEC"/>
    <w:rsid w:val="00CB622D"/>
    <w:rsid w:val="00CC255E"/>
    <w:rsid w:val="00CC6394"/>
    <w:rsid w:val="00CC7AFF"/>
    <w:rsid w:val="00CD0069"/>
    <w:rsid w:val="00CD23F6"/>
    <w:rsid w:val="00CD46DC"/>
    <w:rsid w:val="00CD5399"/>
    <w:rsid w:val="00CD6779"/>
    <w:rsid w:val="00CD6A70"/>
    <w:rsid w:val="00CD7C4C"/>
    <w:rsid w:val="00CE089A"/>
    <w:rsid w:val="00CE0DA1"/>
    <w:rsid w:val="00CE2B14"/>
    <w:rsid w:val="00CF2559"/>
    <w:rsid w:val="00CF5CBB"/>
    <w:rsid w:val="00CF5F04"/>
    <w:rsid w:val="00D0082F"/>
    <w:rsid w:val="00D0099D"/>
    <w:rsid w:val="00D00EA0"/>
    <w:rsid w:val="00D017CB"/>
    <w:rsid w:val="00D01E86"/>
    <w:rsid w:val="00D036E1"/>
    <w:rsid w:val="00D06832"/>
    <w:rsid w:val="00D10783"/>
    <w:rsid w:val="00D1121D"/>
    <w:rsid w:val="00D11847"/>
    <w:rsid w:val="00D13F65"/>
    <w:rsid w:val="00D16C75"/>
    <w:rsid w:val="00D1734D"/>
    <w:rsid w:val="00D174A1"/>
    <w:rsid w:val="00D17564"/>
    <w:rsid w:val="00D212F2"/>
    <w:rsid w:val="00D22D45"/>
    <w:rsid w:val="00D24B28"/>
    <w:rsid w:val="00D30198"/>
    <w:rsid w:val="00D307A8"/>
    <w:rsid w:val="00D31490"/>
    <w:rsid w:val="00D334BA"/>
    <w:rsid w:val="00D342C5"/>
    <w:rsid w:val="00D34CEE"/>
    <w:rsid w:val="00D41305"/>
    <w:rsid w:val="00D4525D"/>
    <w:rsid w:val="00D458EE"/>
    <w:rsid w:val="00D47A3B"/>
    <w:rsid w:val="00D54133"/>
    <w:rsid w:val="00D56A2C"/>
    <w:rsid w:val="00D61F90"/>
    <w:rsid w:val="00D63B13"/>
    <w:rsid w:val="00D64123"/>
    <w:rsid w:val="00D642D3"/>
    <w:rsid w:val="00D65306"/>
    <w:rsid w:val="00D65398"/>
    <w:rsid w:val="00D6767E"/>
    <w:rsid w:val="00D70921"/>
    <w:rsid w:val="00D70CDC"/>
    <w:rsid w:val="00D7334B"/>
    <w:rsid w:val="00D75F77"/>
    <w:rsid w:val="00D7673B"/>
    <w:rsid w:val="00D76F40"/>
    <w:rsid w:val="00D77E50"/>
    <w:rsid w:val="00D80883"/>
    <w:rsid w:val="00D82567"/>
    <w:rsid w:val="00D8311D"/>
    <w:rsid w:val="00D83267"/>
    <w:rsid w:val="00D84B22"/>
    <w:rsid w:val="00D84D9D"/>
    <w:rsid w:val="00D86B79"/>
    <w:rsid w:val="00D86D51"/>
    <w:rsid w:val="00D91281"/>
    <w:rsid w:val="00D91434"/>
    <w:rsid w:val="00D94CAE"/>
    <w:rsid w:val="00D94FCC"/>
    <w:rsid w:val="00D97794"/>
    <w:rsid w:val="00DA3285"/>
    <w:rsid w:val="00DB0EF5"/>
    <w:rsid w:val="00DB1216"/>
    <w:rsid w:val="00DB29BF"/>
    <w:rsid w:val="00DB3628"/>
    <w:rsid w:val="00DB47B7"/>
    <w:rsid w:val="00DB6CE9"/>
    <w:rsid w:val="00DB7468"/>
    <w:rsid w:val="00DC09B3"/>
    <w:rsid w:val="00DC4C6E"/>
    <w:rsid w:val="00DD350C"/>
    <w:rsid w:val="00DD6B55"/>
    <w:rsid w:val="00DE5C5F"/>
    <w:rsid w:val="00DE5C78"/>
    <w:rsid w:val="00DE6622"/>
    <w:rsid w:val="00DE7CDC"/>
    <w:rsid w:val="00DF0E57"/>
    <w:rsid w:val="00DF0F3B"/>
    <w:rsid w:val="00DF14CD"/>
    <w:rsid w:val="00DF181A"/>
    <w:rsid w:val="00DF41FF"/>
    <w:rsid w:val="00DF46C9"/>
    <w:rsid w:val="00DF7E3E"/>
    <w:rsid w:val="00E00BEB"/>
    <w:rsid w:val="00E04466"/>
    <w:rsid w:val="00E04C14"/>
    <w:rsid w:val="00E062CC"/>
    <w:rsid w:val="00E11CE2"/>
    <w:rsid w:val="00E13ABB"/>
    <w:rsid w:val="00E15D87"/>
    <w:rsid w:val="00E17D28"/>
    <w:rsid w:val="00E209F3"/>
    <w:rsid w:val="00E216C5"/>
    <w:rsid w:val="00E245CF"/>
    <w:rsid w:val="00E25218"/>
    <w:rsid w:val="00E3018F"/>
    <w:rsid w:val="00E3097F"/>
    <w:rsid w:val="00E31FDD"/>
    <w:rsid w:val="00E339DC"/>
    <w:rsid w:val="00E366D9"/>
    <w:rsid w:val="00E40C52"/>
    <w:rsid w:val="00E42EC0"/>
    <w:rsid w:val="00E52F97"/>
    <w:rsid w:val="00E53AD3"/>
    <w:rsid w:val="00E549A3"/>
    <w:rsid w:val="00E55222"/>
    <w:rsid w:val="00E56445"/>
    <w:rsid w:val="00E61EB8"/>
    <w:rsid w:val="00E62EB7"/>
    <w:rsid w:val="00E63F82"/>
    <w:rsid w:val="00E64540"/>
    <w:rsid w:val="00E66335"/>
    <w:rsid w:val="00E70221"/>
    <w:rsid w:val="00E70CBD"/>
    <w:rsid w:val="00E70CE8"/>
    <w:rsid w:val="00E7148A"/>
    <w:rsid w:val="00E71936"/>
    <w:rsid w:val="00E75640"/>
    <w:rsid w:val="00E822FB"/>
    <w:rsid w:val="00E82BCE"/>
    <w:rsid w:val="00E82D01"/>
    <w:rsid w:val="00E93F9B"/>
    <w:rsid w:val="00E94097"/>
    <w:rsid w:val="00E955E4"/>
    <w:rsid w:val="00E95D44"/>
    <w:rsid w:val="00E95D67"/>
    <w:rsid w:val="00EA1DFC"/>
    <w:rsid w:val="00EA2770"/>
    <w:rsid w:val="00EA3268"/>
    <w:rsid w:val="00EA3BBE"/>
    <w:rsid w:val="00EA3F5A"/>
    <w:rsid w:val="00EA7735"/>
    <w:rsid w:val="00EB3FE7"/>
    <w:rsid w:val="00EB50D7"/>
    <w:rsid w:val="00EB7F6B"/>
    <w:rsid w:val="00EC0682"/>
    <w:rsid w:val="00EC2A0F"/>
    <w:rsid w:val="00EC340A"/>
    <w:rsid w:val="00EC483F"/>
    <w:rsid w:val="00EC4E9A"/>
    <w:rsid w:val="00EC51DF"/>
    <w:rsid w:val="00EC5712"/>
    <w:rsid w:val="00ED0E19"/>
    <w:rsid w:val="00ED2FE3"/>
    <w:rsid w:val="00ED4566"/>
    <w:rsid w:val="00ED4985"/>
    <w:rsid w:val="00ED5B89"/>
    <w:rsid w:val="00EE0B32"/>
    <w:rsid w:val="00EE2F38"/>
    <w:rsid w:val="00EE3AA0"/>
    <w:rsid w:val="00EE3AAB"/>
    <w:rsid w:val="00EE4E7E"/>
    <w:rsid w:val="00EE5045"/>
    <w:rsid w:val="00EF2507"/>
    <w:rsid w:val="00EF3B46"/>
    <w:rsid w:val="00EF78F5"/>
    <w:rsid w:val="00F00B04"/>
    <w:rsid w:val="00F00BD2"/>
    <w:rsid w:val="00F019B4"/>
    <w:rsid w:val="00F0302E"/>
    <w:rsid w:val="00F03658"/>
    <w:rsid w:val="00F040D2"/>
    <w:rsid w:val="00F046DD"/>
    <w:rsid w:val="00F058EB"/>
    <w:rsid w:val="00F1106A"/>
    <w:rsid w:val="00F205BC"/>
    <w:rsid w:val="00F2071D"/>
    <w:rsid w:val="00F31A8C"/>
    <w:rsid w:val="00F332EE"/>
    <w:rsid w:val="00F33519"/>
    <w:rsid w:val="00F34F20"/>
    <w:rsid w:val="00F3587C"/>
    <w:rsid w:val="00F400CD"/>
    <w:rsid w:val="00F4110C"/>
    <w:rsid w:val="00F42CDA"/>
    <w:rsid w:val="00F444C2"/>
    <w:rsid w:val="00F5261B"/>
    <w:rsid w:val="00F5401B"/>
    <w:rsid w:val="00F552B7"/>
    <w:rsid w:val="00F575D9"/>
    <w:rsid w:val="00F62922"/>
    <w:rsid w:val="00F63A85"/>
    <w:rsid w:val="00F67B04"/>
    <w:rsid w:val="00F73AEA"/>
    <w:rsid w:val="00F76152"/>
    <w:rsid w:val="00F7628E"/>
    <w:rsid w:val="00F80ACB"/>
    <w:rsid w:val="00F80C42"/>
    <w:rsid w:val="00F80C45"/>
    <w:rsid w:val="00F817FC"/>
    <w:rsid w:val="00F85AA5"/>
    <w:rsid w:val="00F8627F"/>
    <w:rsid w:val="00F864E2"/>
    <w:rsid w:val="00F86790"/>
    <w:rsid w:val="00F912A1"/>
    <w:rsid w:val="00F95340"/>
    <w:rsid w:val="00FA0776"/>
    <w:rsid w:val="00FA194B"/>
    <w:rsid w:val="00FA29A8"/>
    <w:rsid w:val="00FA3985"/>
    <w:rsid w:val="00FA7984"/>
    <w:rsid w:val="00FB01A8"/>
    <w:rsid w:val="00FB176A"/>
    <w:rsid w:val="00FB2530"/>
    <w:rsid w:val="00FB26B1"/>
    <w:rsid w:val="00FB2F22"/>
    <w:rsid w:val="00FC0BAA"/>
    <w:rsid w:val="00FC15E1"/>
    <w:rsid w:val="00FC2A6F"/>
    <w:rsid w:val="00FC2D2D"/>
    <w:rsid w:val="00FC334D"/>
    <w:rsid w:val="00FC4320"/>
    <w:rsid w:val="00FD1613"/>
    <w:rsid w:val="00FD2A3E"/>
    <w:rsid w:val="00FD3332"/>
    <w:rsid w:val="00FD46AC"/>
    <w:rsid w:val="00FD50C6"/>
    <w:rsid w:val="00FF07C2"/>
    <w:rsid w:val="00FF787B"/>
    <w:rsid w:val="00FF7D0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59DAFD"/>
  <w15:docId w15:val="{9CAF5EEA-8120-4B09-B358-BF3683D36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Titlu1">
    <w:name w:val="heading 1"/>
    <w:basedOn w:val="Normal"/>
    <w:next w:val="Normal"/>
    <w:qFormat/>
    <w:pPr>
      <w:keepNext/>
      <w:spacing w:before="240" w:after="60"/>
      <w:outlineLvl w:val="0"/>
    </w:pPr>
    <w:rPr>
      <w:rFonts w:ascii="Arial" w:hAnsi="Arial"/>
      <w:b/>
      <w:kern w:val="28"/>
      <w:sz w:val="28"/>
    </w:rPr>
  </w:style>
  <w:style w:type="paragraph" w:styleId="Titlu2">
    <w:name w:val="heading 2"/>
    <w:basedOn w:val="Normal"/>
    <w:next w:val="Normal"/>
    <w:link w:val="Titlu2Caracter"/>
    <w:qFormat/>
    <w:pPr>
      <w:keepNext/>
      <w:jc w:val="center"/>
      <w:outlineLvl w:val="1"/>
    </w:pPr>
    <w:rPr>
      <w:rFonts w:ascii="$ Benguiat_Bold" w:hAnsi="$ Benguiat_Bold"/>
      <w:b/>
      <w:sz w:val="132"/>
      <w:lang w:val="x-none"/>
    </w:rPr>
  </w:style>
  <w:style w:type="paragraph" w:styleId="Titlu3">
    <w:name w:val="heading 3"/>
    <w:basedOn w:val="Normal"/>
    <w:next w:val="Normal"/>
    <w:qFormat/>
    <w:pPr>
      <w:keepNext/>
      <w:jc w:val="center"/>
      <w:outlineLvl w:val="2"/>
    </w:pPr>
    <w:rPr>
      <w:rFonts w:ascii="$Caslon" w:hAnsi="$Caslon"/>
      <w:b/>
      <w:lang w:val="x-none"/>
    </w:rPr>
  </w:style>
  <w:style w:type="paragraph" w:styleId="Titlu4">
    <w:name w:val="heading 4"/>
    <w:basedOn w:val="Normal"/>
    <w:next w:val="Normal"/>
    <w:qFormat/>
    <w:pPr>
      <w:keepNext/>
      <w:jc w:val="center"/>
      <w:outlineLvl w:val="3"/>
    </w:pPr>
    <w:rPr>
      <w:rFonts w:ascii="$Caslon" w:hAnsi="$Caslon"/>
      <w:b/>
      <w:sz w:val="26"/>
      <w:lang w:val="x-none"/>
    </w:rPr>
  </w:style>
  <w:style w:type="paragraph" w:styleId="Titlu5">
    <w:name w:val="heading 5"/>
    <w:basedOn w:val="Normal"/>
    <w:next w:val="Normal"/>
    <w:qFormat/>
    <w:pPr>
      <w:keepNext/>
      <w:jc w:val="center"/>
      <w:outlineLvl w:val="4"/>
    </w:pPr>
    <w:rPr>
      <w:rFonts w:ascii="$Caslon" w:hAnsi="$Caslon"/>
      <w:sz w:val="24"/>
      <w:lang w:val="x-none"/>
    </w:rPr>
  </w:style>
  <w:style w:type="paragraph" w:styleId="Titlu6">
    <w:name w:val="heading 6"/>
    <w:basedOn w:val="Normal"/>
    <w:next w:val="Normal"/>
    <w:qFormat/>
    <w:pPr>
      <w:keepNext/>
      <w:jc w:val="center"/>
      <w:outlineLvl w:val="5"/>
    </w:pPr>
    <w:rPr>
      <w:rFonts w:ascii="$Caslon" w:hAnsi="$Caslon"/>
      <w:b/>
      <w:sz w:val="22"/>
      <w:lang w:val="x-none"/>
    </w:rPr>
  </w:style>
  <w:style w:type="paragraph" w:styleId="Titlu7">
    <w:name w:val="heading 7"/>
    <w:basedOn w:val="Normal"/>
    <w:next w:val="Normal"/>
    <w:qFormat/>
    <w:pPr>
      <w:keepNext/>
      <w:jc w:val="center"/>
      <w:outlineLvl w:val="6"/>
    </w:pPr>
    <w:rPr>
      <w:rFonts w:ascii="Garamond" w:hAnsi="Garamond"/>
      <w:b/>
      <w:sz w:val="28"/>
    </w:rPr>
  </w:style>
  <w:style w:type="paragraph" w:styleId="Titlu8">
    <w:name w:val="heading 8"/>
    <w:basedOn w:val="Normal"/>
    <w:next w:val="Normal"/>
    <w:qFormat/>
    <w:pPr>
      <w:keepNext/>
      <w:jc w:val="center"/>
      <w:outlineLvl w:val="7"/>
    </w:pPr>
    <w:rPr>
      <w:rFonts w:ascii="$Caslon" w:hAnsi="$Caslon"/>
      <w:b/>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rsid w:val="004E1000"/>
    <w:rPr>
      <w:rFonts w:ascii="Tahoma" w:hAnsi="Tahoma"/>
      <w:sz w:val="16"/>
      <w:szCs w:val="16"/>
    </w:rPr>
  </w:style>
  <w:style w:type="character" w:customStyle="1" w:styleId="TextnBalonCaracter">
    <w:name w:val="Text în Balon Caracter"/>
    <w:link w:val="TextnBalon"/>
    <w:uiPriority w:val="99"/>
    <w:rsid w:val="004E1000"/>
    <w:rPr>
      <w:rFonts w:ascii="Tahoma" w:hAnsi="Tahoma" w:cs="Tahoma"/>
      <w:sz w:val="16"/>
      <w:szCs w:val="16"/>
      <w:lang w:val="en-US" w:eastAsia="en-US"/>
    </w:rPr>
  </w:style>
  <w:style w:type="paragraph" w:customStyle="1" w:styleId="CharChar">
    <w:name w:val="Знак Знак Char Char Знак"/>
    <w:basedOn w:val="Normal"/>
    <w:rsid w:val="00DF0E57"/>
    <w:pPr>
      <w:spacing w:after="160" w:line="240" w:lineRule="exact"/>
      <w:ind w:firstLine="0"/>
      <w:jc w:val="left"/>
    </w:pPr>
    <w:rPr>
      <w:rFonts w:ascii="Arial" w:eastAsia="Batang" w:hAnsi="Arial" w:cs="Arial"/>
    </w:rPr>
  </w:style>
  <w:style w:type="paragraph" w:styleId="NormalWeb">
    <w:name w:val="Normal (Web)"/>
    <w:basedOn w:val="Normal"/>
    <w:uiPriority w:val="99"/>
    <w:unhideWhenUsed/>
    <w:rsid w:val="00A56041"/>
    <w:pPr>
      <w:ind w:firstLine="567"/>
    </w:pPr>
    <w:rPr>
      <w:sz w:val="24"/>
      <w:szCs w:val="24"/>
      <w:lang w:val="ru-RU" w:eastAsia="ru-RU"/>
    </w:rPr>
  </w:style>
  <w:style w:type="paragraph" w:customStyle="1" w:styleId="cn">
    <w:name w:val="cn"/>
    <w:basedOn w:val="Normal"/>
    <w:rsid w:val="00A56041"/>
    <w:pPr>
      <w:ind w:firstLine="0"/>
      <w:jc w:val="center"/>
    </w:pPr>
    <w:rPr>
      <w:sz w:val="24"/>
      <w:szCs w:val="24"/>
      <w:lang w:val="ru-RU" w:eastAsia="ru-RU"/>
    </w:rPr>
  </w:style>
  <w:style w:type="paragraph" w:customStyle="1" w:styleId="cb">
    <w:name w:val="cb"/>
    <w:basedOn w:val="Normal"/>
    <w:uiPriority w:val="99"/>
    <w:semiHidden/>
    <w:rsid w:val="00A56041"/>
    <w:pPr>
      <w:ind w:firstLine="0"/>
      <w:jc w:val="center"/>
    </w:pPr>
    <w:rPr>
      <w:b/>
      <w:bCs/>
      <w:sz w:val="24"/>
      <w:szCs w:val="24"/>
      <w:lang w:val="ru-RU" w:eastAsia="ru-RU"/>
    </w:rPr>
  </w:style>
  <w:style w:type="paragraph" w:styleId="Antet">
    <w:name w:val="header"/>
    <w:basedOn w:val="Normal"/>
    <w:link w:val="AntetCaracter"/>
    <w:rsid w:val="00026B87"/>
    <w:pPr>
      <w:tabs>
        <w:tab w:val="center" w:pos="4677"/>
        <w:tab w:val="right" w:pos="9355"/>
      </w:tabs>
    </w:pPr>
  </w:style>
  <w:style w:type="character" w:customStyle="1" w:styleId="AntetCaracter">
    <w:name w:val="Antet Caracter"/>
    <w:link w:val="Antet"/>
    <w:uiPriority w:val="99"/>
    <w:rsid w:val="00026B87"/>
    <w:rPr>
      <w:lang w:val="en-US" w:eastAsia="en-US"/>
    </w:rPr>
  </w:style>
  <w:style w:type="paragraph" w:styleId="Subsol">
    <w:name w:val="footer"/>
    <w:basedOn w:val="Normal"/>
    <w:link w:val="SubsolCaracter"/>
    <w:rsid w:val="00026B87"/>
    <w:pPr>
      <w:tabs>
        <w:tab w:val="center" w:pos="4677"/>
        <w:tab w:val="right" w:pos="9355"/>
      </w:tabs>
    </w:pPr>
  </w:style>
  <w:style w:type="character" w:customStyle="1" w:styleId="SubsolCaracter">
    <w:name w:val="Subsol Caracter"/>
    <w:link w:val="Subsol"/>
    <w:uiPriority w:val="99"/>
    <w:rsid w:val="00026B87"/>
    <w:rPr>
      <w:lang w:val="en-US" w:eastAsia="en-US"/>
    </w:rPr>
  </w:style>
  <w:style w:type="table" w:styleId="Tabelgril">
    <w:name w:val="Table Grid"/>
    <w:basedOn w:val="TabelNormal"/>
    <w:uiPriority w:val="39"/>
    <w:rsid w:val="003852B4"/>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E20E6"/>
    <w:pPr>
      <w:ind w:firstLine="0"/>
      <w:jc w:val="left"/>
    </w:pPr>
    <w:rPr>
      <w:rFonts w:ascii="Arial" w:hAnsi="Arial" w:cs="Arial"/>
      <w:lang w:val="ru-RU" w:eastAsia="ru-RU"/>
    </w:rPr>
  </w:style>
  <w:style w:type="table" w:customStyle="1" w:styleId="GrilTabel1">
    <w:name w:val="Grilă Tabel1"/>
    <w:basedOn w:val="TabelNormal"/>
    <w:next w:val="Tabelgril"/>
    <w:uiPriority w:val="59"/>
    <w:rsid w:val="009E20E6"/>
    <w:rPr>
      <w:rFonts w:ascii="Calibri" w:eastAsia="Calibri" w:hAnsi="Calibri"/>
      <w:sz w:val="22"/>
      <w:szCs w:val="22"/>
      <w:lang w:val="ro-RO"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aliases w:val="References,Numbered List Paragraph,Numbered Paragraph,Main numbered paragraph,Bullets,IBL List Paragraph,List Paragraph nowy,본문(내용),List_Paragraph,Multilevel para_II,List Paragraph1,Forth level,Normal bullet 2,body 2,Akapit z listą BS,lp1"/>
    <w:basedOn w:val="Normal"/>
    <w:link w:val="ListparagrafCaracter"/>
    <w:uiPriority w:val="34"/>
    <w:qFormat/>
    <w:rsid w:val="009E20E6"/>
    <w:pPr>
      <w:ind w:left="720"/>
      <w:contextualSpacing/>
    </w:pPr>
  </w:style>
  <w:style w:type="numbering" w:customStyle="1" w:styleId="FrListare1">
    <w:name w:val="Fără Listare1"/>
    <w:next w:val="FrListare"/>
    <w:semiHidden/>
    <w:rsid w:val="00E216C5"/>
  </w:style>
  <w:style w:type="character" w:styleId="Numrdepagin">
    <w:name w:val="page number"/>
    <w:basedOn w:val="Fontdeparagrafimplicit"/>
    <w:rsid w:val="00E216C5"/>
  </w:style>
  <w:style w:type="paragraph" w:customStyle="1" w:styleId="tt">
    <w:name w:val="tt"/>
    <w:basedOn w:val="Normal"/>
    <w:rsid w:val="00E216C5"/>
    <w:pPr>
      <w:ind w:firstLine="0"/>
      <w:jc w:val="center"/>
    </w:pPr>
    <w:rPr>
      <w:b/>
      <w:bCs/>
      <w:sz w:val="24"/>
      <w:szCs w:val="24"/>
      <w:lang w:val="ru-RU" w:eastAsia="ru-RU"/>
    </w:rPr>
  </w:style>
  <w:style w:type="paragraph" w:customStyle="1" w:styleId="CharChar0">
    <w:name w:val="Char Char Знак Знак"/>
    <w:basedOn w:val="Normal"/>
    <w:rsid w:val="00E216C5"/>
    <w:pPr>
      <w:spacing w:after="160" w:line="240" w:lineRule="exact"/>
      <w:ind w:firstLine="0"/>
      <w:jc w:val="left"/>
    </w:pPr>
    <w:rPr>
      <w:rFonts w:ascii="Arial" w:eastAsia="Batang" w:hAnsi="Arial" w:cs="Arial"/>
    </w:rPr>
  </w:style>
  <w:style w:type="character" w:customStyle="1" w:styleId="docheader1">
    <w:name w:val="doc_header1"/>
    <w:rsid w:val="00E216C5"/>
    <w:rPr>
      <w:rFonts w:ascii="Times New Roman" w:hAnsi="Times New Roman" w:cs="Times New Roman" w:hint="default"/>
      <w:b/>
      <w:bCs/>
      <w:color w:val="000000"/>
      <w:sz w:val="24"/>
      <w:szCs w:val="24"/>
    </w:rPr>
  </w:style>
  <w:style w:type="character" w:styleId="Robust">
    <w:name w:val="Strong"/>
    <w:uiPriority w:val="22"/>
    <w:qFormat/>
    <w:rsid w:val="00E216C5"/>
    <w:rPr>
      <w:b/>
      <w:bCs/>
    </w:rPr>
  </w:style>
  <w:style w:type="character" w:customStyle="1" w:styleId="docsign11">
    <w:name w:val="doc_sign11"/>
    <w:rsid w:val="00E216C5"/>
    <w:rPr>
      <w:rFonts w:ascii="Times New Roman" w:hAnsi="Times New Roman" w:cs="Times New Roman" w:hint="default"/>
      <w:b/>
      <w:bCs/>
      <w:color w:val="000000"/>
      <w:sz w:val="22"/>
      <w:szCs w:val="22"/>
    </w:rPr>
  </w:style>
  <w:style w:type="character" w:customStyle="1" w:styleId="sttart">
    <w:name w:val="st_tart"/>
    <w:basedOn w:val="Fontdeparagrafimplicit"/>
    <w:rsid w:val="00E216C5"/>
  </w:style>
  <w:style w:type="character" w:customStyle="1" w:styleId="tal1">
    <w:name w:val="tal1"/>
    <w:rsid w:val="00E216C5"/>
  </w:style>
  <w:style w:type="table" w:customStyle="1" w:styleId="GrilTabel2">
    <w:name w:val="Grilă Tabel2"/>
    <w:basedOn w:val="TabelNormal"/>
    <w:next w:val="Tabelgril"/>
    <w:rsid w:val="00E216C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E216C5"/>
    <w:pPr>
      <w:spacing w:before="100" w:beforeAutospacing="1" w:after="100" w:afterAutospacing="1"/>
      <w:ind w:firstLine="200"/>
    </w:pPr>
    <w:rPr>
      <w:rFonts w:ascii="Verdana" w:hAnsi="Verdana"/>
      <w:color w:val="033778"/>
      <w:sz w:val="21"/>
      <w:szCs w:val="21"/>
      <w:lang w:eastAsia="zh-CN"/>
    </w:rPr>
  </w:style>
  <w:style w:type="character" w:customStyle="1" w:styleId="def">
    <w:name w:val="def"/>
    <w:rsid w:val="00E216C5"/>
  </w:style>
  <w:style w:type="paragraph" w:customStyle="1" w:styleId="cnam1">
    <w:name w:val="cnam1"/>
    <w:basedOn w:val="Normal"/>
    <w:rsid w:val="00E216C5"/>
    <w:pPr>
      <w:spacing w:before="100" w:beforeAutospacing="1" w:after="100" w:afterAutospacing="1"/>
      <w:ind w:firstLine="0"/>
      <w:jc w:val="left"/>
    </w:pPr>
    <w:rPr>
      <w:color w:val="2D2D2D"/>
      <w:sz w:val="29"/>
      <w:szCs w:val="29"/>
      <w:lang w:eastAsia="zh-CN"/>
    </w:rPr>
  </w:style>
  <w:style w:type="character" w:styleId="Referincomentariu">
    <w:name w:val="annotation reference"/>
    <w:uiPriority w:val="99"/>
    <w:rsid w:val="00E216C5"/>
    <w:rPr>
      <w:sz w:val="16"/>
      <w:szCs w:val="16"/>
    </w:rPr>
  </w:style>
  <w:style w:type="paragraph" w:styleId="Textcomentariu">
    <w:name w:val="annotation text"/>
    <w:basedOn w:val="Normal"/>
    <w:link w:val="TextcomentariuCaracter"/>
    <w:uiPriority w:val="99"/>
    <w:rsid w:val="00E216C5"/>
    <w:pPr>
      <w:ind w:firstLine="0"/>
      <w:jc w:val="left"/>
    </w:pPr>
    <w:rPr>
      <w:lang w:val="ro-RO" w:eastAsia="ru-RU"/>
    </w:rPr>
  </w:style>
  <w:style w:type="character" w:customStyle="1" w:styleId="TextcomentariuCaracter">
    <w:name w:val="Text comentariu Caracter"/>
    <w:basedOn w:val="Fontdeparagrafimplicit"/>
    <w:link w:val="Textcomentariu"/>
    <w:uiPriority w:val="99"/>
    <w:rsid w:val="00E216C5"/>
    <w:rPr>
      <w:lang w:val="ro-RO"/>
    </w:rPr>
  </w:style>
  <w:style w:type="paragraph" w:styleId="SubiectComentariu">
    <w:name w:val="annotation subject"/>
    <w:basedOn w:val="Textcomentariu"/>
    <w:next w:val="Textcomentariu"/>
    <w:link w:val="SubiectComentariuCaracter"/>
    <w:uiPriority w:val="99"/>
    <w:rsid w:val="00E216C5"/>
    <w:rPr>
      <w:b/>
      <w:bCs/>
    </w:rPr>
  </w:style>
  <w:style w:type="character" w:customStyle="1" w:styleId="SubiectComentariuCaracter">
    <w:name w:val="Subiect Comentariu Caracter"/>
    <w:basedOn w:val="TextcomentariuCaracter"/>
    <w:link w:val="SubiectComentariu"/>
    <w:uiPriority w:val="99"/>
    <w:rsid w:val="00E216C5"/>
    <w:rPr>
      <w:b/>
      <w:bCs/>
      <w:lang w:val="ro-RO"/>
    </w:rPr>
  </w:style>
  <w:style w:type="character" w:customStyle="1" w:styleId="apple-converted-space">
    <w:name w:val="apple-converted-space"/>
    <w:rsid w:val="00E216C5"/>
  </w:style>
  <w:style w:type="character" w:customStyle="1" w:styleId="docheader">
    <w:name w:val="doc_header"/>
    <w:rsid w:val="00E216C5"/>
  </w:style>
  <w:style w:type="paragraph" w:customStyle="1" w:styleId="Style2">
    <w:name w:val="Style2"/>
    <w:basedOn w:val="Normal"/>
    <w:uiPriority w:val="99"/>
    <w:rsid w:val="00EA7735"/>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Normal"/>
    <w:uiPriority w:val="99"/>
    <w:rsid w:val="00EA7735"/>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Normal"/>
    <w:uiPriority w:val="99"/>
    <w:rsid w:val="00EA7735"/>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Fontdeparagrafimplicit"/>
    <w:uiPriority w:val="99"/>
    <w:rsid w:val="00EA7735"/>
    <w:rPr>
      <w:rFonts w:ascii="Times New Roman" w:hAnsi="Times New Roman" w:cs="Times New Roman"/>
      <w:sz w:val="24"/>
      <w:szCs w:val="24"/>
    </w:rPr>
  </w:style>
  <w:style w:type="character" w:styleId="Hyperlink">
    <w:name w:val="Hyperlink"/>
    <w:basedOn w:val="Fontdeparagrafimplicit"/>
    <w:uiPriority w:val="99"/>
    <w:rsid w:val="000D7A09"/>
    <w:rPr>
      <w:color w:val="0000FF"/>
      <w:u w:val="single"/>
    </w:rPr>
  </w:style>
  <w:style w:type="paragraph" w:customStyle="1" w:styleId="cp">
    <w:name w:val="cp"/>
    <w:basedOn w:val="Normal"/>
    <w:rsid w:val="000D7A09"/>
    <w:pPr>
      <w:spacing w:before="100" w:beforeAutospacing="1" w:after="100" w:afterAutospacing="1"/>
      <w:ind w:firstLine="0"/>
      <w:jc w:val="left"/>
    </w:pPr>
    <w:rPr>
      <w:sz w:val="24"/>
      <w:szCs w:val="24"/>
      <w:lang w:val="ru-RU" w:eastAsia="ru-RU"/>
    </w:rPr>
  </w:style>
  <w:style w:type="character" w:customStyle="1" w:styleId="object">
    <w:name w:val="object"/>
    <w:basedOn w:val="Fontdeparagrafimplicit"/>
    <w:rsid w:val="000D7A09"/>
  </w:style>
  <w:style w:type="paragraph" w:styleId="PreformatatHTML">
    <w:name w:val="HTML Preformatted"/>
    <w:basedOn w:val="Normal"/>
    <w:link w:val="PreformatatHTMLCaracter"/>
    <w:uiPriority w:val="99"/>
    <w:unhideWhenUsed/>
    <w:rsid w:val="000D7A09"/>
    <w:pPr>
      <w:ind w:firstLine="0"/>
      <w:jc w:val="left"/>
    </w:pPr>
    <w:rPr>
      <w:rFonts w:ascii="Consolas" w:hAnsi="Consolas"/>
    </w:rPr>
  </w:style>
  <w:style w:type="character" w:customStyle="1" w:styleId="PreformatatHTMLCaracter">
    <w:name w:val="Preformatat HTML Caracter"/>
    <w:basedOn w:val="Fontdeparagrafimplicit"/>
    <w:link w:val="PreformatatHTML"/>
    <w:uiPriority w:val="99"/>
    <w:rsid w:val="000D7A09"/>
    <w:rPr>
      <w:rFonts w:ascii="Consolas" w:hAnsi="Consolas"/>
      <w:lang w:val="en-US" w:eastAsia="en-US"/>
    </w:rPr>
  </w:style>
  <w:style w:type="character" w:styleId="Accentuat">
    <w:name w:val="Emphasis"/>
    <w:basedOn w:val="Fontdeparagrafimplicit"/>
    <w:uiPriority w:val="20"/>
    <w:qFormat/>
    <w:rsid w:val="00EE3AA0"/>
    <w:rPr>
      <w:i/>
      <w:iCs/>
    </w:rPr>
  </w:style>
  <w:style w:type="character" w:customStyle="1" w:styleId="ListparagrafCaracter">
    <w:name w:val="Listă paragraf Caracter"/>
    <w:aliases w:val="References Caracter,Numbered List Paragraph Caracter,Numbered Paragraph Caracter,Main numbered paragraph Caracter,Bullets Caracter,IBL List Paragraph Caracter,List Paragraph nowy Caracter,본문(내용) Caracter,List_Paragraph Caracter"/>
    <w:basedOn w:val="Fontdeparagrafimplicit"/>
    <w:link w:val="Listparagraf"/>
    <w:uiPriority w:val="34"/>
    <w:qFormat/>
    <w:locked/>
    <w:rsid w:val="00F86790"/>
    <w:rPr>
      <w:lang w:val="en-US" w:eastAsia="en-US"/>
    </w:rPr>
  </w:style>
  <w:style w:type="paragraph" w:styleId="Frspaiere">
    <w:name w:val="No Spacing"/>
    <w:uiPriority w:val="1"/>
    <w:qFormat/>
    <w:rsid w:val="001145F0"/>
    <w:pPr>
      <w:ind w:firstLine="0"/>
      <w:jc w:val="left"/>
    </w:pPr>
    <w:rPr>
      <w:rFonts w:asciiTheme="minorHAnsi" w:eastAsiaTheme="minorHAnsi" w:hAnsiTheme="minorHAnsi" w:cstheme="minorBidi"/>
      <w:sz w:val="22"/>
      <w:szCs w:val="22"/>
      <w:lang w:val="en-GB" w:eastAsia="en-US"/>
    </w:rPr>
  </w:style>
  <w:style w:type="table" w:customStyle="1" w:styleId="1">
    <w:name w:val="Сетка таблицы1"/>
    <w:basedOn w:val="TabelNormal"/>
    <w:next w:val="Tabelgril"/>
    <w:uiPriority w:val="39"/>
    <w:rsid w:val="00D17564"/>
    <w:pPr>
      <w:ind w:firstLine="0"/>
      <w:jc w:val="left"/>
    </w:pPr>
    <w:rPr>
      <w:rFonts w:eastAsiaTheme="minorHAnsi" w:cstheme="minorBidi"/>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D17564"/>
    <w:pPr>
      <w:spacing w:before="120" w:after="120"/>
      <w:ind w:left="482" w:firstLine="0"/>
    </w:pPr>
    <w:rPr>
      <w:sz w:val="22"/>
      <w:lang w:val="en-GB"/>
    </w:rPr>
  </w:style>
  <w:style w:type="paragraph" w:customStyle="1" w:styleId="Title1">
    <w:name w:val="Title 1"/>
    <w:basedOn w:val="Normal"/>
    <w:next w:val="Normal"/>
    <w:qFormat/>
    <w:rsid w:val="00D16C75"/>
    <w:pPr>
      <w:spacing w:before="240" w:after="240" w:line="276" w:lineRule="auto"/>
      <w:ind w:firstLine="0"/>
    </w:pPr>
    <w:rPr>
      <w:rFonts w:ascii="Calibri" w:eastAsia="Calibri" w:hAnsi="Calibri"/>
      <w:b/>
      <w:color w:val="0F243E"/>
      <w:sz w:val="26"/>
      <w:szCs w:val="26"/>
      <w:lang w:val="en-GB"/>
    </w:rPr>
  </w:style>
  <w:style w:type="paragraph" w:customStyle="1" w:styleId="Numberedtex">
    <w:name w:val="Numbered tex"/>
    <w:basedOn w:val="Normal"/>
    <w:qFormat/>
    <w:rsid w:val="00916856"/>
    <w:pPr>
      <w:numPr>
        <w:numId w:val="13"/>
      </w:numPr>
      <w:tabs>
        <w:tab w:val="left" w:pos="403"/>
      </w:tabs>
      <w:spacing w:before="120" w:after="120" w:line="276" w:lineRule="auto"/>
    </w:pPr>
    <w:rPr>
      <w:rFonts w:ascii="Calibri" w:eastAsia="Calibri" w:hAnsi="Calibri"/>
      <w:sz w:val="22"/>
      <w:szCs w:val="22"/>
      <w:lang w:val="en-GB"/>
    </w:rPr>
  </w:style>
  <w:style w:type="paragraph" w:customStyle="1" w:styleId="Table">
    <w:name w:val="Table"/>
    <w:basedOn w:val="Normal"/>
    <w:qFormat/>
    <w:rsid w:val="00916856"/>
    <w:pPr>
      <w:spacing w:before="240" w:line="276" w:lineRule="auto"/>
      <w:ind w:firstLine="0"/>
      <w:jc w:val="center"/>
    </w:pPr>
    <w:rPr>
      <w:rFonts w:ascii="Calibri" w:eastAsia="Calibri" w:hAnsi="Calibri"/>
      <w:b/>
      <w:color w:val="0F243E"/>
      <w:szCs w:val="22"/>
      <w:lang w:val="en-GB"/>
    </w:rPr>
  </w:style>
  <w:style w:type="paragraph" w:customStyle="1" w:styleId="Title2">
    <w:name w:val="Title 2"/>
    <w:basedOn w:val="Normal"/>
    <w:qFormat/>
    <w:rsid w:val="00916856"/>
    <w:pPr>
      <w:spacing w:before="240" w:after="240" w:line="276" w:lineRule="auto"/>
      <w:ind w:left="403" w:firstLine="0"/>
    </w:pPr>
    <w:rPr>
      <w:rFonts w:ascii="Calibri" w:eastAsia="Calibri" w:hAnsi="Calibri"/>
      <w:b/>
      <w:i/>
      <w:color w:val="767171"/>
      <w:sz w:val="26"/>
      <w:szCs w:val="26"/>
      <w:lang w:val="en-GB"/>
    </w:rPr>
  </w:style>
  <w:style w:type="table" w:customStyle="1" w:styleId="Tabelgril1">
    <w:name w:val="Tabel grilă1"/>
    <w:basedOn w:val="TabelNormal"/>
    <w:next w:val="Tabelgril"/>
    <w:uiPriority w:val="39"/>
    <w:rsid w:val="00C82678"/>
    <w:pPr>
      <w:ind w:firstLine="0"/>
      <w:jc w:val="left"/>
    </w:pPr>
    <w:rPr>
      <w:rFonts w:eastAsia="Calibri"/>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TabelNormal"/>
    <w:uiPriority w:val="59"/>
    <w:rsid w:val="00C82678"/>
    <w:rPr>
      <w:rFonts w:ascii="Calibri" w:eastAsia="Calibri" w:hAnsi="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rsid w:val="001B319D"/>
    <w:rPr>
      <w:rFonts w:ascii="$ Benguiat_Bold" w:hAnsi="$ Benguiat_Bold"/>
      <w:b/>
      <w:sz w:val="132"/>
      <w:lang w:val="x-none" w:eastAsia="en-US"/>
    </w:rPr>
  </w:style>
  <w:style w:type="character" w:customStyle="1" w:styleId="2">
    <w:name w:val="Основной текст (2)_"/>
    <w:basedOn w:val="Fontdeparagrafimplicit"/>
    <w:link w:val="20"/>
    <w:locked/>
    <w:rsid w:val="0068527F"/>
    <w:rPr>
      <w:shd w:val="clear" w:color="auto" w:fill="FFFFFF"/>
    </w:rPr>
  </w:style>
  <w:style w:type="paragraph" w:customStyle="1" w:styleId="20">
    <w:name w:val="Основной текст (2)"/>
    <w:basedOn w:val="Normal"/>
    <w:link w:val="2"/>
    <w:rsid w:val="0068527F"/>
    <w:pPr>
      <w:widowControl w:val="0"/>
      <w:shd w:val="clear" w:color="auto" w:fill="FFFFFF"/>
      <w:spacing w:before="280" w:line="288" w:lineRule="exact"/>
      <w:ind w:hanging="340"/>
    </w:pPr>
    <w:rPr>
      <w:lang w:val="ru-RU" w:eastAsia="ru-RU"/>
    </w:rPr>
  </w:style>
  <w:style w:type="paragraph" w:styleId="Textnotdesubsol">
    <w:name w:val="footnote text"/>
    <w:basedOn w:val="Normal"/>
    <w:link w:val="TextnotdesubsolCaracter"/>
    <w:semiHidden/>
    <w:unhideWhenUsed/>
    <w:rsid w:val="00C33E74"/>
  </w:style>
  <w:style w:type="character" w:customStyle="1" w:styleId="TextnotdesubsolCaracter">
    <w:name w:val="Text notă de subsol Caracter"/>
    <w:basedOn w:val="Fontdeparagrafimplicit"/>
    <w:link w:val="Textnotdesubsol"/>
    <w:semiHidden/>
    <w:rsid w:val="00C33E74"/>
    <w:rPr>
      <w:lang w:val="en-US" w:eastAsia="en-US"/>
    </w:rPr>
  </w:style>
  <w:style w:type="character" w:styleId="Referinnotdesubsol">
    <w:name w:val="footnote reference"/>
    <w:basedOn w:val="Fontdeparagrafimplicit"/>
    <w:semiHidden/>
    <w:unhideWhenUsed/>
    <w:rsid w:val="00C33E74"/>
    <w:rPr>
      <w:vertAlign w:val="superscript"/>
    </w:rPr>
  </w:style>
  <w:style w:type="paragraph" w:customStyle="1" w:styleId="bodytext10">
    <w:name w:val="bodytext10"/>
    <w:basedOn w:val="Normal"/>
    <w:rsid w:val="00506C2C"/>
    <w:pPr>
      <w:spacing w:before="100" w:beforeAutospacing="1" w:after="100" w:afterAutospacing="1"/>
      <w:ind w:firstLine="0"/>
      <w:jc w:val="left"/>
    </w:pPr>
    <w:rPr>
      <w:sz w:val="24"/>
      <w:szCs w:val="24"/>
      <w:lang w:val="ro-RO" w:eastAsia="ro-RO"/>
    </w:rPr>
  </w:style>
  <w:style w:type="character" w:customStyle="1" w:styleId="bodytext1">
    <w:name w:val="bodytext1"/>
    <w:basedOn w:val="Fontdeparagrafimplicit"/>
    <w:rsid w:val="00506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53280">
      <w:bodyDiv w:val="1"/>
      <w:marLeft w:val="0"/>
      <w:marRight w:val="0"/>
      <w:marTop w:val="0"/>
      <w:marBottom w:val="0"/>
      <w:divBdr>
        <w:top w:val="none" w:sz="0" w:space="0" w:color="auto"/>
        <w:left w:val="none" w:sz="0" w:space="0" w:color="auto"/>
        <w:bottom w:val="none" w:sz="0" w:space="0" w:color="auto"/>
        <w:right w:val="none" w:sz="0" w:space="0" w:color="auto"/>
      </w:divBdr>
      <w:divsChild>
        <w:div w:id="1170756590">
          <w:marLeft w:val="0"/>
          <w:marRight w:val="0"/>
          <w:marTop w:val="0"/>
          <w:marBottom w:val="0"/>
          <w:divBdr>
            <w:top w:val="none" w:sz="0" w:space="0" w:color="auto"/>
            <w:left w:val="none" w:sz="0" w:space="0" w:color="auto"/>
            <w:bottom w:val="none" w:sz="0" w:space="0" w:color="auto"/>
            <w:right w:val="none" w:sz="0" w:space="0" w:color="auto"/>
          </w:divBdr>
        </w:div>
        <w:div w:id="1963614363">
          <w:marLeft w:val="0"/>
          <w:marRight w:val="0"/>
          <w:marTop w:val="0"/>
          <w:marBottom w:val="0"/>
          <w:divBdr>
            <w:top w:val="none" w:sz="0" w:space="0" w:color="auto"/>
            <w:left w:val="none" w:sz="0" w:space="0" w:color="auto"/>
            <w:bottom w:val="none" w:sz="0" w:space="0" w:color="auto"/>
            <w:right w:val="none" w:sz="0" w:space="0" w:color="auto"/>
          </w:divBdr>
        </w:div>
        <w:div w:id="840007240">
          <w:marLeft w:val="0"/>
          <w:marRight w:val="0"/>
          <w:marTop w:val="0"/>
          <w:marBottom w:val="0"/>
          <w:divBdr>
            <w:top w:val="none" w:sz="0" w:space="0" w:color="auto"/>
            <w:left w:val="none" w:sz="0" w:space="0" w:color="auto"/>
            <w:bottom w:val="none" w:sz="0" w:space="0" w:color="auto"/>
            <w:right w:val="none" w:sz="0" w:space="0" w:color="auto"/>
          </w:divBdr>
        </w:div>
        <w:div w:id="1110927616">
          <w:marLeft w:val="0"/>
          <w:marRight w:val="0"/>
          <w:marTop w:val="0"/>
          <w:marBottom w:val="0"/>
          <w:divBdr>
            <w:top w:val="none" w:sz="0" w:space="0" w:color="auto"/>
            <w:left w:val="none" w:sz="0" w:space="0" w:color="auto"/>
            <w:bottom w:val="none" w:sz="0" w:space="0" w:color="auto"/>
            <w:right w:val="none" w:sz="0" w:space="0" w:color="auto"/>
          </w:divBdr>
        </w:div>
        <w:div w:id="1243374952">
          <w:marLeft w:val="0"/>
          <w:marRight w:val="0"/>
          <w:marTop w:val="0"/>
          <w:marBottom w:val="0"/>
          <w:divBdr>
            <w:top w:val="none" w:sz="0" w:space="0" w:color="auto"/>
            <w:left w:val="none" w:sz="0" w:space="0" w:color="auto"/>
            <w:bottom w:val="none" w:sz="0" w:space="0" w:color="auto"/>
            <w:right w:val="none" w:sz="0" w:space="0" w:color="auto"/>
          </w:divBdr>
        </w:div>
        <w:div w:id="2035226542">
          <w:marLeft w:val="0"/>
          <w:marRight w:val="0"/>
          <w:marTop w:val="0"/>
          <w:marBottom w:val="0"/>
          <w:divBdr>
            <w:top w:val="none" w:sz="0" w:space="0" w:color="auto"/>
            <w:left w:val="none" w:sz="0" w:space="0" w:color="auto"/>
            <w:bottom w:val="none" w:sz="0" w:space="0" w:color="auto"/>
            <w:right w:val="none" w:sz="0" w:space="0" w:color="auto"/>
          </w:divBdr>
        </w:div>
      </w:divsChild>
    </w:div>
    <w:div w:id="52584774">
      <w:bodyDiv w:val="1"/>
      <w:marLeft w:val="0"/>
      <w:marRight w:val="0"/>
      <w:marTop w:val="0"/>
      <w:marBottom w:val="0"/>
      <w:divBdr>
        <w:top w:val="none" w:sz="0" w:space="0" w:color="auto"/>
        <w:left w:val="none" w:sz="0" w:space="0" w:color="auto"/>
        <w:bottom w:val="none" w:sz="0" w:space="0" w:color="auto"/>
        <w:right w:val="none" w:sz="0" w:space="0" w:color="auto"/>
      </w:divBdr>
    </w:div>
    <w:div w:id="306671287">
      <w:bodyDiv w:val="1"/>
      <w:marLeft w:val="0"/>
      <w:marRight w:val="0"/>
      <w:marTop w:val="0"/>
      <w:marBottom w:val="0"/>
      <w:divBdr>
        <w:top w:val="none" w:sz="0" w:space="0" w:color="auto"/>
        <w:left w:val="none" w:sz="0" w:space="0" w:color="auto"/>
        <w:bottom w:val="none" w:sz="0" w:space="0" w:color="auto"/>
        <w:right w:val="none" w:sz="0" w:space="0" w:color="auto"/>
      </w:divBdr>
    </w:div>
    <w:div w:id="596863610">
      <w:bodyDiv w:val="1"/>
      <w:marLeft w:val="0"/>
      <w:marRight w:val="0"/>
      <w:marTop w:val="0"/>
      <w:marBottom w:val="0"/>
      <w:divBdr>
        <w:top w:val="none" w:sz="0" w:space="0" w:color="auto"/>
        <w:left w:val="none" w:sz="0" w:space="0" w:color="auto"/>
        <w:bottom w:val="none" w:sz="0" w:space="0" w:color="auto"/>
        <w:right w:val="none" w:sz="0" w:space="0" w:color="auto"/>
      </w:divBdr>
    </w:div>
    <w:div w:id="604389101">
      <w:bodyDiv w:val="1"/>
      <w:marLeft w:val="0"/>
      <w:marRight w:val="0"/>
      <w:marTop w:val="0"/>
      <w:marBottom w:val="0"/>
      <w:divBdr>
        <w:top w:val="none" w:sz="0" w:space="0" w:color="auto"/>
        <w:left w:val="none" w:sz="0" w:space="0" w:color="auto"/>
        <w:bottom w:val="none" w:sz="0" w:space="0" w:color="auto"/>
        <w:right w:val="none" w:sz="0" w:space="0" w:color="auto"/>
      </w:divBdr>
    </w:div>
    <w:div w:id="735517445">
      <w:bodyDiv w:val="1"/>
      <w:marLeft w:val="0"/>
      <w:marRight w:val="0"/>
      <w:marTop w:val="0"/>
      <w:marBottom w:val="0"/>
      <w:divBdr>
        <w:top w:val="none" w:sz="0" w:space="0" w:color="auto"/>
        <w:left w:val="none" w:sz="0" w:space="0" w:color="auto"/>
        <w:bottom w:val="none" w:sz="0" w:space="0" w:color="auto"/>
        <w:right w:val="none" w:sz="0" w:space="0" w:color="auto"/>
      </w:divBdr>
    </w:div>
    <w:div w:id="782186254">
      <w:bodyDiv w:val="1"/>
      <w:marLeft w:val="0"/>
      <w:marRight w:val="0"/>
      <w:marTop w:val="0"/>
      <w:marBottom w:val="0"/>
      <w:divBdr>
        <w:top w:val="none" w:sz="0" w:space="0" w:color="auto"/>
        <w:left w:val="none" w:sz="0" w:space="0" w:color="auto"/>
        <w:bottom w:val="none" w:sz="0" w:space="0" w:color="auto"/>
        <w:right w:val="none" w:sz="0" w:space="0" w:color="auto"/>
      </w:divBdr>
    </w:div>
    <w:div w:id="1100488274">
      <w:bodyDiv w:val="1"/>
      <w:marLeft w:val="0"/>
      <w:marRight w:val="0"/>
      <w:marTop w:val="0"/>
      <w:marBottom w:val="0"/>
      <w:divBdr>
        <w:top w:val="none" w:sz="0" w:space="0" w:color="auto"/>
        <w:left w:val="none" w:sz="0" w:space="0" w:color="auto"/>
        <w:bottom w:val="none" w:sz="0" w:space="0" w:color="auto"/>
        <w:right w:val="none" w:sz="0" w:space="0" w:color="auto"/>
      </w:divBdr>
    </w:div>
    <w:div w:id="1260681046">
      <w:bodyDiv w:val="1"/>
      <w:marLeft w:val="0"/>
      <w:marRight w:val="0"/>
      <w:marTop w:val="0"/>
      <w:marBottom w:val="0"/>
      <w:divBdr>
        <w:top w:val="none" w:sz="0" w:space="0" w:color="auto"/>
        <w:left w:val="none" w:sz="0" w:space="0" w:color="auto"/>
        <w:bottom w:val="none" w:sz="0" w:space="0" w:color="auto"/>
        <w:right w:val="none" w:sz="0" w:space="0" w:color="auto"/>
      </w:divBdr>
    </w:div>
    <w:div w:id="1376927057">
      <w:bodyDiv w:val="1"/>
      <w:marLeft w:val="0"/>
      <w:marRight w:val="0"/>
      <w:marTop w:val="0"/>
      <w:marBottom w:val="0"/>
      <w:divBdr>
        <w:top w:val="none" w:sz="0" w:space="0" w:color="auto"/>
        <w:left w:val="none" w:sz="0" w:space="0" w:color="auto"/>
        <w:bottom w:val="none" w:sz="0" w:space="0" w:color="auto"/>
        <w:right w:val="none" w:sz="0" w:space="0" w:color="auto"/>
      </w:divBdr>
    </w:div>
    <w:div w:id="1457791437">
      <w:bodyDiv w:val="1"/>
      <w:marLeft w:val="0"/>
      <w:marRight w:val="0"/>
      <w:marTop w:val="0"/>
      <w:marBottom w:val="0"/>
      <w:divBdr>
        <w:top w:val="none" w:sz="0" w:space="0" w:color="auto"/>
        <w:left w:val="none" w:sz="0" w:space="0" w:color="auto"/>
        <w:bottom w:val="none" w:sz="0" w:space="0" w:color="auto"/>
        <w:right w:val="none" w:sz="0" w:space="0" w:color="auto"/>
      </w:divBdr>
    </w:div>
    <w:div w:id="1596671643">
      <w:bodyDiv w:val="1"/>
      <w:marLeft w:val="0"/>
      <w:marRight w:val="0"/>
      <w:marTop w:val="0"/>
      <w:marBottom w:val="0"/>
      <w:divBdr>
        <w:top w:val="none" w:sz="0" w:space="0" w:color="auto"/>
        <w:left w:val="none" w:sz="0" w:space="0" w:color="auto"/>
        <w:bottom w:val="none" w:sz="0" w:space="0" w:color="auto"/>
        <w:right w:val="none" w:sz="0" w:space="0" w:color="auto"/>
      </w:divBdr>
    </w:div>
    <w:div w:id="1687754267">
      <w:bodyDiv w:val="1"/>
      <w:marLeft w:val="0"/>
      <w:marRight w:val="0"/>
      <w:marTop w:val="0"/>
      <w:marBottom w:val="0"/>
      <w:divBdr>
        <w:top w:val="none" w:sz="0" w:space="0" w:color="auto"/>
        <w:left w:val="none" w:sz="0" w:space="0" w:color="auto"/>
        <w:bottom w:val="none" w:sz="0" w:space="0" w:color="auto"/>
        <w:right w:val="none" w:sz="0" w:space="0" w:color="auto"/>
      </w:divBdr>
    </w:div>
    <w:div w:id="206818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cabinet.gov.md"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860024116969534E-2"/>
          <c:y val="6.0855041889930378E-2"/>
          <c:w val="0.90165900278000277"/>
          <c:h val="0.7463392386716009"/>
        </c:manualLayout>
      </c:layout>
      <c:barChart>
        <c:barDir val="col"/>
        <c:grouping val="clustered"/>
        <c:varyColors val="0"/>
        <c:ser>
          <c:idx val="1"/>
          <c:order val="0"/>
          <c:tx>
            <c:strRef>
              <c:f>Лист1!$B$1</c:f>
              <c:strCache>
                <c:ptCount val="1"/>
                <c:pt idx="0">
                  <c:v>UE</c:v>
                </c:pt>
              </c:strCache>
            </c:strRef>
          </c:tx>
          <c:spPr>
            <a:solidFill>
              <a:schemeClr val="accent4"/>
            </a:solidFill>
            <a:ln>
              <a:noFill/>
            </a:ln>
            <a:effectLst>
              <a:outerShdw blurRad="50800" dist="38100" algn="l" rotWithShape="0">
                <a:prstClr val="black">
                  <a:alpha val="40000"/>
                </a:prstClr>
              </a:outerShdw>
            </a:effectLst>
          </c:spPr>
          <c:invertIfNegative val="0"/>
          <c:dLbls>
            <c:dLbl>
              <c:idx val="0"/>
              <c:layout>
                <c:manualLayout>
                  <c:x val="3.8882285391945125E-3"/>
                  <c:y val="5.9642474390237679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71F-42AC-8747-2E9B0EA7F5C7}"/>
                </c:ext>
              </c:extLst>
            </c:dLbl>
            <c:dLbl>
              <c:idx val="2"/>
              <c:layout>
                <c:manualLayout>
                  <c:x val="-4.5116174148432213E-3"/>
                  <c:y val="-2.89345609106452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71F-42AC-8747-2E9B0EA7F5C7}"/>
                </c:ext>
              </c:extLst>
            </c:dLbl>
            <c:dLbl>
              <c:idx val="3"/>
              <c:layout>
                <c:manualLayout>
                  <c:x val="6.5604493752850828E-3"/>
                  <c:y val="1.07212940517500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71F-42AC-8747-2E9B0EA7F5C7}"/>
                </c:ext>
              </c:extLst>
            </c:dLbl>
            <c:dLbl>
              <c:idx val="5"/>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71F-42AC-8747-2E9B0EA7F5C7}"/>
                </c:ext>
              </c:extLst>
            </c:dLbl>
            <c:dLbl>
              <c:idx val="7"/>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71F-42AC-8747-2E9B0EA7F5C7}"/>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Narrow" panose="020B0606020202030204" pitchFamily="34" charset="0"/>
                    <a:ea typeface="Cambria" panose="02040503050406030204" pitchFamily="18" charset="0"/>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2019</c:v>
                </c:pt>
                <c:pt idx="1">
                  <c:v>2020</c:v>
                </c:pt>
                <c:pt idx="2">
                  <c:v>2021</c:v>
                </c:pt>
                <c:pt idx="3">
                  <c:v>2022</c:v>
                </c:pt>
                <c:pt idx="4">
                  <c:v>2023</c:v>
                </c:pt>
                <c:pt idx="5">
                  <c:v>2024</c:v>
                </c:pt>
                <c:pt idx="6">
                  <c:v>2025</c:v>
                </c:pt>
                <c:pt idx="7">
                  <c:v>2026</c:v>
                </c:pt>
              </c:numCache>
            </c:numRef>
          </c:cat>
          <c:val>
            <c:numRef>
              <c:f>Лист1!$B$2:$B$9</c:f>
              <c:numCache>
                <c:formatCode>General</c:formatCode>
                <c:ptCount val="8"/>
                <c:pt idx="0">
                  <c:v>1.9</c:v>
                </c:pt>
                <c:pt idx="1">
                  <c:v>-5.6</c:v>
                </c:pt>
                <c:pt idx="2">
                  <c:v>6.3</c:v>
                </c:pt>
                <c:pt idx="3">
                  <c:v>3.5</c:v>
                </c:pt>
                <c:pt idx="4">
                  <c:v>0.4</c:v>
                </c:pt>
                <c:pt idx="5">
                  <c:v>0.9</c:v>
                </c:pt>
                <c:pt idx="6">
                  <c:v>1.5</c:v>
                </c:pt>
                <c:pt idx="7" formatCode="0.0">
                  <c:v>1.8</c:v>
                </c:pt>
              </c:numCache>
            </c:numRef>
          </c:val>
          <c:extLst>
            <c:ext xmlns:c16="http://schemas.microsoft.com/office/drawing/2014/chart" uri="{C3380CC4-5D6E-409C-BE32-E72D297353CC}">
              <c16:uniqueId val="{00000005-071F-42AC-8747-2E9B0EA7F5C7}"/>
            </c:ext>
          </c:extLst>
        </c:ser>
        <c:ser>
          <c:idx val="2"/>
          <c:order val="1"/>
          <c:tx>
            <c:strRef>
              <c:f>Лист1!$C$1</c:f>
              <c:strCache>
                <c:ptCount val="1"/>
                <c:pt idx="0">
                  <c:v>Zona Euro</c:v>
                </c:pt>
              </c:strCache>
            </c:strRef>
          </c:tx>
          <c:spPr>
            <a:solidFill>
              <a:schemeClr val="accent5"/>
            </a:solidFill>
            <a:ln>
              <a:noFill/>
            </a:ln>
            <a:effectLst>
              <a:outerShdw blurRad="50800" dist="38100" algn="l" rotWithShape="0">
                <a:prstClr val="black">
                  <a:alpha val="40000"/>
                </a:prstClr>
              </a:outerShdw>
            </a:effectLst>
          </c:spPr>
          <c:invertIfNegative val="0"/>
          <c:dLbls>
            <c:dLbl>
              <c:idx val="0"/>
              <c:layout>
                <c:manualLayout>
                  <c:x val="9.023234829686442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71F-42AC-8747-2E9B0EA7F5C7}"/>
                </c:ext>
              </c:extLst>
            </c:dLbl>
            <c:dLbl>
              <c:idx val="1"/>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71F-42AC-8747-2E9B0EA7F5C7}"/>
                </c:ext>
              </c:extLst>
            </c:dLbl>
            <c:dLbl>
              <c:idx val="2"/>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71F-42AC-8747-2E9B0EA7F5C7}"/>
                </c:ext>
              </c:extLst>
            </c:dLbl>
            <c:dLbl>
              <c:idx val="3"/>
              <c:layout>
                <c:manualLayout>
                  <c:x val="2.6655843521477169E-2"/>
                  <c:y val="2.53817783488515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71F-42AC-8747-2E9B0EA7F5C7}"/>
                </c:ext>
              </c:extLst>
            </c:dLbl>
            <c:dLbl>
              <c:idx val="4"/>
              <c:layout>
                <c:manualLayout>
                  <c:x val="1.3534852244529581E-2"/>
                  <c:y val="-9.697498834990103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71F-42AC-8747-2E9B0EA7F5C7}"/>
                </c:ext>
              </c:extLst>
            </c:dLbl>
            <c:dLbl>
              <c:idx val="5"/>
              <c:layout>
                <c:manualLayout>
                  <c:x val="4.511617414843055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71F-42AC-8747-2E9B0EA7F5C7}"/>
                </c:ext>
              </c:extLst>
            </c:dLbl>
            <c:dLbl>
              <c:idx val="6"/>
              <c:layout>
                <c:manualLayout>
                  <c:x val="4.5116174148432213E-3"/>
                  <c:y val="-4.848749417495051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71F-42AC-8747-2E9B0EA7F5C7}"/>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Narrow" panose="020B0606020202030204" pitchFamily="34" charset="0"/>
                    <a:ea typeface="Cambria" panose="02040503050406030204" pitchFamily="18" charset="0"/>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2019</c:v>
                </c:pt>
                <c:pt idx="1">
                  <c:v>2020</c:v>
                </c:pt>
                <c:pt idx="2">
                  <c:v>2021</c:v>
                </c:pt>
                <c:pt idx="3">
                  <c:v>2022</c:v>
                </c:pt>
                <c:pt idx="4">
                  <c:v>2023</c:v>
                </c:pt>
                <c:pt idx="5">
                  <c:v>2024</c:v>
                </c:pt>
                <c:pt idx="6">
                  <c:v>2025</c:v>
                </c:pt>
                <c:pt idx="7">
                  <c:v>2026</c:v>
                </c:pt>
              </c:numCache>
            </c:numRef>
          </c:cat>
          <c:val>
            <c:numRef>
              <c:f>Лист1!$C$2:$C$9</c:f>
              <c:numCache>
                <c:formatCode>General</c:formatCode>
                <c:ptCount val="8"/>
                <c:pt idx="0">
                  <c:v>1.6</c:v>
                </c:pt>
                <c:pt idx="1">
                  <c:v>-6</c:v>
                </c:pt>
                <c:pt idx="2">
                  <c:v>6.3</c:v>
                </c:pt>
                <c:pt idx="3">
                  <c:v>3.5</c:v>
                </c:pt>
                <c:pt idx="4">
                  <c:v>0.4</c:v>
                </c:pt>
                <c:pt idx="5">
                  <c:v>0.8</c:v>
                </c:pt>
                <c:pt idx="6">
                  <c:v>1.3</c:v>
                </c:pt>
                <c:pt idx="7" formatCode="0.0">
                  <c:v>1.6</c:v>
                </c:pt>
              </c:numCache>
            </c:numRef>
          </c:val>
          <c:extLst>
            <c:ext xmlns:c16="http://schemas.microsoft.com/office/drawing/2014/chart" uri="{C3380CC4-5D6E-409C-BE32-E72D297353CC}">
              <c16:uniqueId val="{0000000D-071F-42AC-8747-2E9B0EA7F5C7}"/>
            </c:ext>
          </c:extLst>
        </c:ser>
        <c:dLbls>
          <c:showLegendKey val="0"/>
          <c:showVal val="0"/>
          <c:showCatName val="0"/>
          <c:showSerName val="0"/>
          <c:showPercent val="0"/>
          <c:showBubbleSize val="0"/>
        </c:dLbls>
        <c:gapWidth val="150"/>
        <c:axId val="643433776"/>
        <c:axId val="643434760"/>
      </c:barChart>
      <c:catAx>
        <c:axId val="64343377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Cambria" panose="02040503050406030204" pitchFamily="18" charset="0"/>
                <a:cs typeface="+mn-cs"/>
              </a:defRPr>
            </a:pPr>
            <a:endParaRPr lang="ro-RO"/>
          </a:p>
        </c:txPr>
        <c:crossAx val="643434760"/>
        <c:crosses val="autoZero"/>
        <c:auto val="1"/>
        <c:lblAlgn val="ctr"/>
        <c:lblOffset val="100"/>
        <c:noMultiLvlLbl val="0"/>
      </c:catAx>
      <c:valAx>
        <c:axId val="643434760"/>
        <c:scaling>
          <c:orientation val="minMax"/>
          <c:max val="8"/>
          <c:min val="-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Cambria" panose="02040503050406030204" pitchFamily="18" charset="0"/>
                <a:cs typeface="+mn-cs"/>
              </a:defRPr>
            </a:pPr>
            <a:endParaRPr lang="ro-RO"/>
          </a:p>
        </c:txPr>
        <c:crossAx val="643433776"/>
        <c:crosses val="autoZero"/>
        <c:crossBetween val="between"/>
        <c:majorUnit val="2"/>
      </c:valAx>
      <c:spPr>
        <a:noFill/>
        <a:ln>
          <a:noFill/>
        </a:ln>
        <a:effectLst/>
      </c:spPr>
    </c:plotArea>
    <c:legend>
      <c:legendPos val="b"/>
      <c:layout>
        <c:manualLayout>
          <c:xMode val="edge"/>
          <c:yMode val="edge"/>
          <c:x val="0.21515536125605228"/>
          <c:y val="0.92498175480569345"/>
          <c:w val="0.59774509950789745"/>
          <c:h val="5.8936304116681444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Cambria" panose="02040503050406030204" pitchFamily="18" charset="0"/>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Arial Narrow" panose="020B0606020202030204" pitchFamily="34" charset="0"/>
          <a:ea typeface="Cambria" panose="02040503050406030204" pitchFamily="18" charset="0"/>
        </a:defRPr>
      </a:pPr>
      <a:endParaRPr lang="ro-RO"/>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420473492254625E-2"/>
          <c:y val="0.13349137514867773"/>
          <c:w val="0.90165900278000277"/>
          <c:h val="0.67527337193990855"/>
        </c:manualLayout>
      </c:layout>
      <c:barChart>
        <c:barDir val="col"/>
        <c:grouping val="clustered"/>
        <c:varyColors val="0"/>
        <c:ser>
          <c:idx val="0"/>
          <c:order val="0"/>
          <c:tx>
            <c:strRef>
              <c:f>Лист1!$B$1</c:f>
              <c:strCache>
                <c:ptCount val="1"/>
                <c:pt idx="0">
                  <c:v>2024</c:v>
                </c:pt>
              </c:strCache>
            </c:strRef>
          </c:tx>
          <c:spPr>
            <a:solidFill>
              <a:schemeClr val="accent1"/>
            </a:solidFill>
            <a:ln>
              <a:noFill/>
            </a:ln>
            <a:effectLst/>
          </c:spPr>
          <c:invertIfNegative val="0"/>
          <c:dLbls>
            <c:dLbl>
              <c:idx val="6"/>
              <c:layout>
                <c:manualLayout>
                  <c:x val="-7.0339726241589687E-4"/>
                  <c:y val="-1.018945033107271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780-4006-8530-E8E23C389DA6}"/>
                </c:ext>
              </c:extLst>
            </c:dLbl>
            <c:dLbl>
              <c:idx val="7"/>
              <c:layout>
                <c:manualLayout>
                  <c:x val="5.8570521128693456E-3"/>
                  <c:y val="-1.566828485043259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780-4006-8530-E8E23C389DA6}"/>
                </c:ext>
              </c:extLst>
            </c:dLbl>
            <c:numFmt formatCode="#,##0.0_ ;\-#,##0.0\ " sourceLinked="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Narrow" panose="020B0606020202030204" pitchFamily="34" charset="0"/>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România</c:v>
                </c:pt>
                <c:pt idx="3">
                  <c:v>Germania</c:v>
                </c:pt>
                <c:pt idx="4">
                  <c:v>Italia</c:v>
                </c:pt>
              </c:strCache>
            </c:strRef>
          </c:cat>
          <c:val>
            <c:numRef>
              <c:f>Лист1!$B$2:$B$6</c:f>
            </c:numRef>
          </c:val>
          <c:extLst>
            <c:ext xmlns:c16="http://schemas.microsoft.com/office/drawing/2014/chart" uri="{C3380CC4-5D6E-409C-BE32-E72D297353CC}">
              <c16:uniqueId val="{00000002-C780-4006-8530-E8E23C389DA6}"/>
            </c:ext>
          </c:extLst>
        </c:ser>
        <c:ser>
          <c:idx val="1"/>
          <c:order val="1"/>
          <c:tx>
            <c:strRef>
              <c:f>Лист1!$C$1</c:f>
              <c:strCache>
                <c:ptCount val="1"/>
                <c:pt idx="0">
                  <c:v>2025</c:v>
                </c:pt>
              </c:strCache>
            </c:strRef>
          </c:tx>
          <c:spPr>
            <a:solidFill>
              <a:schemeClr val="accent3"/>
            </a:solidFill>
            <a:ln>
              <a:noFill/>
            </a:ln>
            <a:effectLst>
              <a:outerShdw blurRad="50800" dist="38100" algn="l" rotWithShape="0">
                <a:prstClr val="black">
                  <a:alpha val="40000"/>
                </a:prstClr>
              </a:outerShdw>
            </a:effectLst>
          </c:spPr>
          <c:invertIfNegative val="0"/>
          <c:dLbls>
            <c:dLbl>
              <c:idx val="6"/>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780-4006-8530-E8E23C389DA6}"/>
                </c:ext>
              </c:extLst>
            </c:dLbl>
            <c:dLbl>
              <c:idx val="8"/>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780-4006-8530-E8E23C389DA6}"/>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Narrow" panose="020B0606020202030204" pitchFamily="34" charset="0"/>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România</c:v>
                </c:pt>
                <c:pt idx="3">
                  <c:v>Germania</c:v>
                </c:pt>
                <c:pt idx="4">
                  <c:v>Italia</c:v>
                </c:pt>
              </c:strCache>
            </c:strRef>
          </c:cat>
          <c:val>
            <c:numRef>
              <c:f>Лист1!$C$2:$C$6</c:f>
              <c:numCache>
                <c:formatCode>General</c:formatCode>
                <c:ptCount val="5"/>
                <c:pt idx="0">
                  <c:v>2</c:v>
                </c:pt>
                <c:pt idx="1">
                  <c:v>2.8</c:v>
                </c:pt>
                <c:pt idx="2">
                  <c:v>2.5</c:v>
                </c:pt>
                <c:pt idx="3">
                  <c:v>0.7</c:v>
                </c:pt>
                <c:pt idx="4">
                  <c:v>1</c:v>
                </c:pt>
              </c:numCache>
            </c:numRef>
          </c:val>
          <c:extLst>
            <c:ext xmlns:c16="http://schemas.microsoft.com/office/drawing/2014/chart" uri="{C3380CC4-5D6E-409C-BE32-E72D297353CC}">
              <c16:uniqueId val="{00000005-C780-4006-8530-E8E23C389DA6}"/>
            </c:ext>
          </c:extLst>
        </c:ser>
        <c:ser>
          <c:idx val="2"/>
          <c:order val="2"/>
          <c:tx>
            <c:strRef>
              <c:f>Лист1!$D$1</c:f>
              <c:strCache>
                <c:ptCount val="1"/>
                <c:pt idx="0">
                  <c:v>2026</c:v>
                </c:pt>
              </c:strCache>
            </c:strRef>
          </c:tx>
          <c:spPr>
            <a:solidFill>
              <a:schemeClr val="accent5"/>
            </a:solidFill>
            <a:ln>
              <a:noFill/>
            </a:ln>
            <a:effectLst>
              <a:outerShdw blurRad="50800" dist="38100" algn="l" rotWithShape="0">
                <a:prstClr val="black">
                  <a:alpha val="40000"/>
                </a:prstClr>
              </a:outerShdw>
            </a:effectLst>
          </c:spPr>
          <c:invertIfNegative val="0"/>
          <c:dLbls>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Arial Narrow" panose="020B0606020202030204" pitchFamily="34" charset="0"/>
                    <a:ea typeface="+mn-ea"/>
                    <a:cs typeface="+mn-cs"/>
                  </a:defRPr>
                </a:pPr>
                <a:endParaRPr lang="ro-R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România</c:v>
                </c:pt>
                <c:pt idx="3">
                  <c:v>Germania</c:v>
                </c:pt>
                <c:pt idx="4">
                  <c:v>Italia</c:v>
                </c:pt>
              </c:strCache>
            </c:strRef>
          </c:cat>
          <c:val>
            <c:numRef>
              <c:f>Лист1!$D$2:$D$6</c:f>
              <c:numCache>
                <c:formatCode>General</c:formatCode>
                <c:ptCount val="5"/>
                <c:pt idx="0">
                  <c:v>2.4</c:v>
                </c:pt>
                <c:pt idx="1">
                  <c:v>5.9</c:v>
                </c:pt>
                <c:pt idx="2">
                  <c:v>2.9</c:v>
                </c:pt>
                <c:pt idx="3">
                  <c:v>1.3</c:v>
                </c:pt>
                <c:pt idx="4">
                  <c:v>1.2</c:v>
                </c:pt>
              </c:numCache>
            </c:numRef>
          </c:val>
          <c:extLst>
            <c:ext xmlns:c16="http://schemas.microsoft.com/office/drawing/2014/chart" uri="{C3380CC4-5D6E-409C-BE32-E72D297353CC}">
              <c16:uniqueId val="{00000006-C780-4006-8530-E8E23C389DA6}"/>
            </c:ext>
          </c:extLst>
        </c:ser>
        <c:dLbls>
          <c:showLegendKey val="0"/>
          <c:showVal val="0"/>
          <c:showCatName val="0"/>
          <c:showSerName val="0"/>
          <c:showPercent val="0"/>
          <c:showBubbleSize val="0"/>
        </c:dLbls>
        <c:gapWidth val="150"/>
        <c:axId val="643433776"/>
        <c:axId val="643434760"/>
      </c:barChart>
      <c:catAx>
        <c:axId val="643433776"/>
        <c:scaling>
          <c:orientation val="minMax"/>
        </c:scaling>
        <c:delete val="0"/>
        <c:axPos val="b"/>
        <c:numFmt formatCode="General" sourceLinked="1"/>
        <c:majorTickMark val="none"/>
        <c:minorTickMark val="none"/>
        <c:tickLblPos val="high"/>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643434760"/>
        <c:crosses val="autoZero"/>
        <c:auto val="1"/>
        <c:lblAlgn val="ctr"/>
        <c:lblOffset val="100"/>
        <c:noMultiLvlLbl val="0"/>
      </c:catAx>
      <c:valAx>
        <c:axId val="643434760"/>
        <c:scaling>
          <c:orientation val="minMax"/>
          <c:max val="7"/>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crossAx val="643433776"/>
        <c:crosses val="autoZero"/>
        <c:crossBetween val="between"/>
        <c:majorUnit val="1"/>
      </c:valAx>
      <c:spPr>
        <a:noFill/>
        <a:ln>
          <a:noFill/>
        </a:ln>
        <a:effectLst/>
      </c:spPr>
    </c:plotArea>
    <c:legend>
      <c:legendPos val="b"/>
      <c:layout>
        <c:manualLayout>
          <c:xMode val="edge"/>
          <c:yMode val="edge"/>
          <c:x val="0.21515518602132774"/>
          <c:y val="0.90886572296915746"/>
          <c:w val="0.56094183946390974"/>
          <c:h val="5.8936304116681444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Arial Narrow" panose="020B0606020202030204" pitchFamily="34" charset="0"/>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Arial Narrow" panose="020B0606020202030204" pitchFamily="34" charset="0"/>
        </a:defRPr>
      </a:pPr>
      <a:endParaRPr lang="ro-RO"/>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405356860512918"/>
          <c:y val="6.8031806675053208E-2"/>
          <c:w val="0.87321897303520413"/>
          <c:h val="0.67844269135747715"/>
        </c:manualLayout>
      </c:layout>
      <c:barChart>
        <c:barDir val="col"/>
        <c:grouping val="clustered"/>
        <c:varyColors val="0"/>
        <c:ser>
          <c:idx val="0"/>
          <c:order val="0"/>
          <c:tx>
            <c:strRef>
              <c:f>'cheltuieli 13.08.2025'!$B$5</c:f>
              <c:strCache>
                <c:ptCount val="1"/>
                <c:pt idx="0">
                  <c:v>Cheltuieli de personal la nivel BPN, mil. lei</c:v>
                </c:pt>
              </c:strCache>
            </c:strRef>
          </c:tx>
          <c:spPr>
            <a:solidFill>
              <a:schemeClr val="accent5">
                <a:lumMod val="60000"/>
                <a:lumOff val="40000"/>
              </a:schemeClr>
            </a:solidFill>
            <a:ln>
              <a:noFill/>
            </a:ln>
            <a:effectLst>
              <a:outerShdw blurRad="57150" dist="19050" dir="5400000" algn="ctr" rotWithShape="0">
                <a:srgbClr val="000000">
                  <a:alpha val="63000"/>
                </a:srgbClr>
              </a:outerShdw>
            </a:effectLst>
          </c:spPr>
          <c:invertIfNegative val="0"/>
          <c:cat>
            <c:strRef>
              <c:f>'cheltuieli 13.08.2025'!$C$3:$G$4</c:f>
              <c:strCache>
                <c:ptCount val="5"/>
                <c:pt idx="0">
                  <c:v>2024 executat</c:v>
                </c:pt>
                <c:pt idx="1">
                  <c:v>2025 aprobat</c:v>
                </c:pt>
                <c:pt idx="2">
                  <c:v>2026 estimat</c:v>
                </c:pt>
                <c:pt idx="3">
                  <c:v>2027 estimat</c:v>
                </c:pt>
                <c:pt idx="4">
                  <c:v>2028 estimat</c:v>
                </c:pt>
              </c:strCache>
            </c:strRef>
          </c:cat>
          <c:val>
            <c:numRef>
              <c:f>'cheltuieli 13.08.2025'!$C$5:$G$5</c:f>
              <c:numCache>
                <c:formatCode>#,##0.0</c:formatCode>
                <c:ptCount val="5"/>
                <c:pt idx="0">
                  <c:v>27723.5</c:v>
                </c:pt>
                <c:pt idx="1">
                  <c:v>29815.4</c:v>
                </c:pt>
                <c:pt idx="2">
                  <c:v>32442.3</c:v>
                </c:pt>
                <c:pt idx="3">
                  <c:v>33585.199999999997</c:v>
                </c:pt>
                <c:pt idx="4">
                  <c:v>35948.1</c:v>
                </c:pt>
              </c:numCache>
            </c:numRef>
          </c:val>
          <c:extLst>
            <c:ext xmlns:c16="http://schemas.microsoft.com/office/drawing/2014/chart" uri="{C3380CC4-5D6E-409C-BE32-E72D297353CC}">
              <c16:uniqueId val="{00000000-D2F4-4C99-8907-0147E202A493}"/>
            </c:ext>
          </c:extLst>
        </c:ser>
        <c:dLbls>
          <c:showLegendKey val="0"/>
          <c:showVal val="0"/>
          <c:showCatName val="0"/>
          <c:showSerName val="0"/>
          <c:showPercent val="0"/>
          <c:showBubbleSize val="0"/>
        </c:dLbls>
        <c:gapWidth val="269"/>
        <c:overlap val="100"/>
        <c:axId val="2045343952"/>
        <c:axId val="2048108032"/>
      </c:barChart>
      <c:lineChart>
        <c:grouping val="stacked"/>
        <c:varyColors val="0"/>
        <c:ser>
          <c:idx val="1"/>
          <c:order val="1"/>
          <c:tx>
            <c:strRef>
              <c:f>'cheltuieli 13.08.2025'!$B$6</c:f>
              <c:strCache>
                <c:ptCount val="1"/>
                <c:pt idx="0">
                  <c:v>% cheltuieli de personal în cheltuieli publice BPN</c:v>
                </c:pt>
              </c:strCache>
            </c:strRef>
          </c:tx>
          <c:spPr>
            <a:ln w="34925" cap="rnd">
              <a:solidFill>
                <a:schemeClr val="accent1">
                  <a:lumMod val="40000"/>
                  <a:lumOff val="60000"/>
                </a:schemeClr>
              </a:solidFill>
              <a:round/>
            </a:ln>
            <a:effectLst>
              <a:outerShdw blurRad="57150" dist="19050" dir="5400000" algn="ctr" rotWithShape="0">
                <a:srgbClr val="000000">
                  <a:alpha val="63000"/>
                </a:srgbClr>
              </a:outerShdw>
            </a:effectLst>
          </c:spPr>
          <c:marker>
            <c:symbol val="circle"/>
            <c:size val="6"/>
            <c:spPr>
              <a:solidFill>
                <a:schemeClr val="accent1">
                  <a:lumMod val="40000"/>
                  <a:lumOff val="60000"/>
                </a:schemeClr>
              </a:solidFill>
              <a:ln w="9525">
                <a:solidFill>
                  <a:schemeClr val="accent2"/>
                </a:solidFill>
                <a:round/>
              </a:ln>
              <a:effectLst>
                <a:outerShdw blurRad="57150" dist="19050" dir="5400000" algn="ctr" rotWithShape="0">
                  <a:srgbClr val="000000">
                    <a:alpha val="63000"/>
                  </a:srgbClr>
                </a:outerShdw>
              </a:effectLst>
            </c:spPr>
          </c:marker>
          <c:dLbls>
            <c:dLbl>
              <c:idx val="0"/>
              <c:layout>
                <c:manualLayout>
                  <c:x val="0"/>
                  <c:y val="-1.75824175824175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0BA-443A-B402-FEB1ECCADD00}"/>
                </c:ext>
              </c:extLst>
            </c:dLbl>
            <c:dLbl>
              <c:idx val="3"/>
              <c:layout>
                <c:manualLayout>
                  <c:x val="-8.2248189984516779E-17"/>
                  <c:y val="-2.1978021978021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0BA-443A-B402-FEB1ECCADD00}"/>
                </c:ext>
              </c:extLst>
            </c:dLbl>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'cheltuieli 13.08.2025'!$C$3:$G$4</c:f>
              <c:strCache>
                <c:ptCount val="5"/>
                <c:pt idx="0">
                  <c:v>2024 executat</c:v>
                </c:pt>
                <c:pt idx="1">
                  <c:v>2025 aprobat</c:v>
                </c:pt>
                <c:pt idx="2">
                  <c:v>2026 estimat</c:v>
                </c:pt>
                <c:pt idx="3">
                  <c:v>2027 estimat</c:v>
                </c:pt>
                <c:pt idx="4">
                  <c:v>2028 estimat</c:v>
                </c:pt>
              </c:strCache>
            </c:strRef>
          </c:cat>
          <c:val>
            <c:numRef>
              <c:f>'cheltuieli 13.08.2025'!$C$6:$G$6</c:f>
              <c:numCache>
                <c:formatCode>#,##0.0</c:formatCode>
                <c:ptCount val="5"/>
                <c:pt idx="0">
                  <c:v>22.546286431809346</c:v>
                </c:pt>
                <c:pt idx="1">
                  <c:v>22.35925817603696</c:v>
                </c:pt>
                <c:pt idx="2">
                  <c:v>21.285042544103959</c:v>
                </c:pt>
                <c:pt idx="3">
                  <c:v>20.314259757258586</c:v>
                </c:pt>
                <c:pt idx="4">
                  <c:v>20.613600993633817</c:v>
                </c:pt>
              </c:numCache>
            </c:numRef>
          </c:val>
          <c:smooth val="0"/>
          <c:extLst>
            <c:ext xmlns:c16="http://schemas.microsoft.com/office/drawing/2014/chart" uri="{C3380CC4-5D6E-409C-BE32-E72D297353CC}">
              <c16:uniqueId val="{00000001-D2F4-4C99-8907-0147E202A493}"/>
            </c:ext>
          </c:extLst>
        </c:ser>
        <c:ser>
          <c:idx val="2"/>
          <c:order val="2"/>
          <c:tx>
            <c:strRef>
              <c:f>'cheltuieli 13.08.2025'!$B$7</c:f>
              <c:strCache>
                <c:ptCount val="1"/>
                <c:pt idx="0">
                  <c:v>% cheltuieli de personal în PIB</c:v>
                </c:pt>
              </c:strCache>
            </c:strRef>
          </c:tx>
          <c:spPr>
            <a:ln w="22225" cap="rnd">
              <a:solidFill>
                <a:schemeClr val="accent5"/>
              </a:solidFill>
              <a:round/>
            </a:ln>
            <a:effectLst>
              <a:outerShdw blurRad="57150" dist="19050" dir="5400000" algn="ctr" rotWithShape="0">
                <a:srgbClr val="000000">
                  <a:alpha val="63000"/>
                </a:srgbClr>
              </a:outerShdw>
            </a:effectLst>
          </c:spPr>
          <c:marker>
            <c:symbol val="none"/>
          </c:marker>
          <c:dPt>
            <c:idx val="1"/>
            <c:marker>
              <c:symbol val="none"/>
            </c:marker>
            <c:bubble3D val="0"/>
            <c:extLst>
              <c:ext xmlns:c16="http://schemas.microsoft.com/office/drawing/2014/chart" uri="{C3380CC4-5D6E-409C-BE32-E72D297353CC}">
                <c16:uniqueId val="{00000002-D2F4-4C99-8907-0147E202A493}"/>
              </c:ext>
            </c:extLst>
          </c:dPt>
          <c:dLbls>
            <c:dLbl>
              <c:idx val="0"/>
              <c:layout>
                <c:manualLayout>
                  <c:x val="0"/>
                  <c:y val="-2.63736263736263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0BA-443A-B402-FEB1ECCADD00}"/>
                </c:ext>
              </c:extLst>
            </c:dLbl>
            <c:dLbl>
              <c:idx val="1"/>
              <c:layout>
                <c:manualLayout>
                  <c:x val="0"/>
                  <c:y val="-1.75824175824175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2F4-4C99-8907-0147E202A493}"/>
                </c:ext>
              </c:extLst>
            </c:dLbl>
            <c:dLbl>
              <c:idx val="3"/>
              <c:layout>
                <c:manualLayout>
                  <c:x val="0"/>
                  <c:y val="3.07692307692307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0BA-443A-B402-FEB1ECCADD00}"/>
                </c:ext>
              </c:extLst>
            </c:dLbl>
            <c:dLbl>
              <c:idx val="4"/>
              <c:layout>
                <c:manualLayout>
                  <c:x val="4.4863167339614174E-3"/>
                  <c:y val="8.79120879120881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0BA-443A-B402-FEB1ECCADD00}"/>
                </c:ext>
              </c:extLst>
            </c:dLbl>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'cheltuieli 13.08.2025'!$C$3:$G$4</c:f>
              <c:strCache>
                <c:ptCount val="5"/>
                <c:pt idx="0">
                  <c:v>2024 executat</c:v>
                </c:pt>
                <c:pt idx="1">
                  <c:v>2025 aprobat</c:v>
                </c:pt>
                <c:pt idx="2">
                  <c:v>2026 estimat</c:v>
                </c:pt>
                <c:pt idx="3">
                  <c:v>2027 estimat</c:v>
                </c:pt>
                <c:pt idx="4">
                  <c:v>2028 estimat</c:v>
                </c:pt>
              </c:strCache>
            </c:strRef>
          </c:cat>
          <c:val>
            <c:numRef>
              <c:f>'cheltuieli 13.08.2025'!$C$7:$G$7</c:f>
              <c:numCache>
                <c:formatCode>#,##0.00</c:formatCode>
                <c:ptCount val="5"/>
                <c:pt idx="0">
                  <c:v>8.5619209388511432</c:v>
                </c:pt>
                <c:pt idx="1">
                  <c:v>8.4919965821703212</c:v>
                </c:pt>
                <c:pt idx="2">
                  <c:v>8.5307125953194838</c:v>
                </c:pt>
                <c:pt idx="3">
                  <c:v>8.1576876366286122</c:v>
                </c:pt>
                <c:pt idx="4">
                  <c:v>8.1570456092579988</c:v>
                </c:pt>
              </c:numCache>
            </c:numRef>
          </c:val>
          <c:smooth val="0"/>
          <c:extLst>
            <c:ext xmlns:c16="http://schemas.microsoft.com/office/drawing/2014/chart" uri="{C3380CC4-5D6E-409C-BE32-E72D297353CC}">
              <c16:uniqueId val="{00000003-D2F4-4C99-8907-0147E202A493}"/>
            </c:ext>
          </c:extLst>
        </c:ser>
        <c:dLbls>
          <c:showLegendKey val="0"/>
          <c:showVal val="0"/>
          <c:showCatName val="0"/>
          <c:showSerName val="0"/>
          <c:showPercent val="0"/>
          <c:showBubbleSize val="0"/>
        </c:dLbls>
        <c:marker val="1"/>
        <c:smooth val="0"/>
        <c:axId val="314496911"/>
        <c:axId val="314496079"/>
      </c:lineChart>
      <c:valAx>
        <c:axId val="314496079"/>
        <c:scaling>
          <c:orientation val="minMax"/>
        </c:scaling>
        <c:delete val="0"/>
        <c:axPos val="r"/>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314496911"/>
        <c:crosses val="max"/>
        <c:crossBetween val="between"/>
      </c:valAx>
      <c:catAx>
        <c:axId val="314496911"/>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314496079"/>
        <c:crosses val="autoZero"/>
        <c:auto val="1"/>
        <c:lblAlgn val="ctr"/>
        <c:lblOffset val="100"/>
        <c:noMultiLvlLbl val="0"/>
      </c:catAx>
      <c:valAx>
        <c:axId val="2048108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045343952"/>
        <c:crosses val="autoZero"/>
        <c:crossBetween val="between"/>
      </c:valAx>
      <c:catAx>
        <c:axId val="2045343952"/>
        <c:scaling>
          <c:orientation val="minMax"/>
        </c:scaling>
        <c:delete val="1"/>
        <c:axPos val="b"/>
        <c:numFmt formatCode="General" sourceLinked="1"/>
        <c:majorTickMark val="none"/>
        <c:minorTickMark val="none"/>
        <c:tickLblPos val="nextTo"/>
        <c:crossAx val="2048108032"/>
        <c:crosses val="autoZero"/>
        <c:auto val="1"/>
        <c:lblAlgn val="ctr"/>
        <c:lblOffset val="100"/>
        <c:noMultiLvlLbl val="0"/>
      </c:catAx>
      <c:spPr>
        <a:noFill/>
        <a:ln>
          <a:noFill/>
        </a:ln>
        <a:effectLst/>
      </c:spPr>
    </c:plotArea>
    <c:legend>
      <c:legendPos val="b"/>
      <c:layout>
        <c:manualLayout>
          <c:xMode val="edge"/>
          <c:yMode val="edge"/>
          <c:x val="1.4695645058756146E-2"/>
          <c:y val="0.86772667825264838"/>
          <c:w val="0.98001246247096818"/>
          <c:h val="0.13227332174735165"/>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ro-RO"/>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9733145110859345E-2"/>
          <c:y val="6.1964218758369501E-2"/>
          <c:w val="0.75828940740031547"/>
          <c:h val="0.66145963897369986"/>
        </c:manualLayout>
      </c:layout>
      <c:barChart>
        <c:barDir val="col"/>
        <c:grouping val="clustered"/>
        <c:varyColors val="0"/>
        <c:ser>
          <c:idx val="0"/>
          <c:order val="0"/>
          <c:tx>
            <c:strRef>
              <c:f>'nr. unități'!$B$5</c:f>
              <c:strCache>
                <c:ptCount val="1"/>
                <c:pt idx="0">
                  <c:v>Salariul nominal mediu lunar, mii lei</c:v>
                </c:pt>
              </c:strCache>
            </c:strRef>
          </c:tx>
          <c:spPr>
            <a:solidFill>
              <a:schemeClr val="accent1">
                <a:lumMod val="40000"/>
                <a:lumOff val="60000"/>
              </a:schemeClr>
            </a:solidFill>
            <a:ln>
              <a:noFill/>
            </a:ln>
            <a:effectLst/>
          </c:spPr>
          <c:invertIfNegative val="0"/>
          <c:dLbls>
            <c:dLbl>
              <c:idx val="0"/>
              <c:layout>
                <c:manualLayout>
                  <c:x val="-1.4568714282920116E-2"/>
                  <c:y val="-2.1748503347193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F33-4906-BA2F-4D5140B794D3}"/>
                </c:ext>
              </c:extLst>
            </c:dLbl>
            <c:dLbl>
              <c:idx val="1"/>
              <c:layout>
                <c:manualLayout>
                  <c:x val="-5.5134077822021295E-2"/>
                  <c:y val="4.681725273543099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F33-4906-BA2F-4D5140B794D3}"/>
                </c:ext>
              </c:extLst>
            </c:dLbl>
            <c:dLbl>
              <c:idx val="2"/>
              <c:layout>
                <c:manualLayout>
                  <c:x val="-2.2261252594206669E-2"/>
                  <c:y val="4.42625851543837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F33-4906-BA2F-4D5140B794D3}"/>
                </c:ext>
              </c:extLst>
            </c:dLbl>
            <c:dLbl>
              <c:idx val="3"/>
              <c:layout>
                <c:manualLayout>
                  <c:x val="5.9339106743659473E-3"/>
                  <c:y val="4.468725117225549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F33-4906-BA2F-4D5140B794D3}"/>
                </c:ext>
              </c:extLst>
            </c:dLbl>
            <c:dLbl>
              <c:idx val="4"/>
              <c:layout>
                <c:manualLayout>
                  <c:x val="-1.0367229395839877E-2"/>
                  <c:y val="1.59176029962546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F33-4906-BA2F-4D5140B794D3}"/>
                </c:ext>
              </c:extLst>
            </c:dLbl>
            <c:spPr>
              <a:noFill/>
              <a:ln>
                <a:noFill/>
              </a:ln>
              <a:effectLst/>
            </c:spPr>
            <c:txPr>
              <a:bodyPr rot="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multiLvlStrRef>
              <c:f>'nr. unități'!$C$3:$G$4</c:f>
              <c:multiLvlStrCache>
                <c:ptCount val="5"/>
                <c:lvl>
                  <c:pt idx="0">
                    <c:v>2024</c:v>
                  </c:pt>
                  <c:pt idx="1">
                    <c:v>2025</c:v>
                  </c:pt>
                  <c:pt idx="2">
                    <c:v>2026</c:v>
                  </c:pt>
                  <c:pt idx="3">
                    <c:v>2027</c:v>
                  </c:pt>
                  <c:pt idx="4">
                    <c:v>2028</c:v>
                  </c:pt>
                </c:lvl>
                <c:lvl>
                  <c:pt idx="0">
                    <c:v>executat</c:v>
                  </c:pt>
                  <c:pt idx="1">
                    <c:v>aprobat</c:v>
                  </c:pt>
                  <c:pt idx="2">
                    <c:v>estimat</c:v>
                  </c:pt>
                </c:lvl>
              </c:multiLvlStrCache>
            </c:multiLvlStrRef>
          </c:cat>
          <c:val>
            <c:numRef>
              <c:f>'nr. unități'!$C$5:$G$5</c:f>
              <c:numCache>
                <c:formatCode>#,##0.0</c:formatCode>
                <c:ptCount val="5"/>
                <c:pt idx="0">
                  <c:v>14.02</c:v>
                </c:pt>
                <c:pt idx="1">
                  <c:v>15.8</c:v>
                </c:pt>
                <c:pt idx="2">
                  <c:v>17.5</c:v>
                </c:pt>
                <c:pt idx="3">
                  <c:v>19.2</c:v>
                </c:pt>
                <c:pt idx="4">
                  <c:v>20.9</c:v>
                </c:pt>
              </c:numCache>
            </c:numRef>
          </c:val>
          <c:extLst>
            <c:ext xmlns:c16="http://schemas.microsoft.com/office/drawing/2014/chart" uri="{C3380CC4-5D6E-409C-BE32-E72D297353CC}">
              <c16:uniqueId val="{00000005-3F33-4906-BA2F-4D5140B794D3}"/>
            </c:ext>
          </c:extLst>
        </c:ser>
        <c:ser>
          <c:idx val="1"/>
          <c:order val="1"/>
          <c:tx>
            <c:strRef>
              <c:f>'nr. unități'!$B$6</c:f>
              <c:strCache>
                <c:ptCount val="1"/>
                <c:pt idx="0">
                  <c:v>Cheltuieli de personal medii lunare per unitate (BS+BL), mii lei</c:v>
                </c:pt>
              </c:strCache>
            </c:strRef>
          </c:tx>
          <c:spPr>
            <a:solidFill>
              <a:schemeClr val="accent5">
                <a:lumMod val="60000"/>
                <a:lumOff val="40000"/>
              </a:schemeClr>
            </a:solidFill>
            <a:ln>
              <a:noFill/>
            </a:ln>
            <a:effectLst/>
          </c:spPr>
          <c:invertIfNegative val="0"/>
          <c:dLbls>
            <c:dLbl>
              <c:idx val="0"/>
              <c:layout>
                <c:manualLayout>
                  <c:x val="2.3564061157706654E-2"/>
                  <c:y val="1.1363632974339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F33-4906-BA2F-4D5140B794D3}"/>
                </c:ext>
              </c:extLst>
            </c:dLbl>
            <c:dLbl>
              <c:idx val="1"/>
              <c:layout>
                <c:manualLayout>
                  <c:x val="2.9304025078015411E-2"/>
                  <c:y val="2.24719101123595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F33-4906-BA2F-4D5140B794D3}"/>
                </c:ext>
              </c:extLst>
            </c:dLbl>
            <c:dLbl>
              <c:idx val="2"/>
              <c:layout>
                <c:manualLayout>
                  <c:x val="2.1978018808511541E-2"/>
                  <c:y val="1.12359550561797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F33-4906-BA2F-4D5140B794D3}"/>
                </c:ext>
              </c:extLst>
            </c:dLbl>
            <c:dLbl>
              <c:idx val="3"/>
              <c:layout>
                <c:manualLayout>
                  <c:x val="2.1978018808511607E-2"/>
                  <c:y val="7.490636704119781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F33-4906-BA2F-4D5140B794D3}"/>
                </c:ext>
              </c:extLst>
            </c:dLbl>
            <c:dLbl>
              <c:idx val="4"/>
              <c:layout>
                <c:manualLayout>
                  <c:x val="1.6483514106383705E-2"/>
                  <c:y val="7.490636704119781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F33-4906-BA2F-4D5140B794D3}"/>
                </c:ext>
              </c:extLst>
            </c:dLbl>
            <c:spPr>
              <a:noFill/>
              <a:ln>
                <a:noFill/>
              </a:ln>
              <a:effectLst/>
            </c:spPr>
            <c:txPr>
              <a:bodyPr rot="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multiLvlStrRef>
              <c:f>'nr. unități'!$C$3:$G$4</c:f>
              <c:multiLvlStrCache>
                <c:ptCount val="5"/>
                <c:lvl>
                  <c:pt idx="0">
                    <c:v>2024</c:v>
                  </c:pt>
                  <c:pt idx="1">
                    <c:v>2025</c:v>
                  </c:pt>
                  <c:pt idx="2">
                    <c:v>2026</c:v>
                  </c:pt>
                  <c:pt idx="3">
                    <c:v>2027</c:v>
                  </c:pt>
                  <c:pt idx="4">
                    <c:v>2028</c:v>
                  </c:pt>
                </c:lvl>
                <c:lvl>
                  <c:pt idx="0">
                    <c:v>executat</c:v>
                  </c:pt>
                  <c:pt idx="1">
                    <c:v>aprobat</c:v>
                  </c:pt>
                  <c:pt idx="2">
                    <c:v>estimat</c:v>
                  </c:pt>
                </c:lvl>
              </c:multiLvlStrCache>
            </c:multiLvlStrRef>
          </c:cat>
          <c:val>
            <c:numRef>
              <c:f>'nr. unități'!$C$6:$G$6</c:f>
              <c:numCache>
                <c:formatCode>#,##0.0</c:formatCode>
                <c:ptCount val="5"/>
                <c:pt idx="0">
                  <c:v>13.213672231722917</c:v>
                </c:pt>
                <c:pt idx="1">
                  <c:v>14.396147301778599</c:v>
                </c:pt>
                <c:pt idx="2">
                  <c:v>15.903836651136524</c:v>
                </c:pt>
                <c:pt idx="3">
                  <c:v>16.46410811489168</c:v>
                </c:pt>
                <c:pt idx="4">
                  <c:v>17.622446938679467</c:v>
                </c:pt>
              </c:numCache>
            </c:numRef>
          </c:val>
          <c:extLst>
            <c:ext xmlns:c16="http://schemas.microsoft.com/office/drawing/2014/chart" uri="{C3380CC4-5D6E-409C-BE32-E72D297353CC}">
              <c16:uniqueId val="{0000000B-3F33-4906-BA2F-4D5140B794D3}"/>
            </c:ext>
          </c:extLst>
        </c:ser>
        <c:dLbls>
          <c:showLegendKey val="0"/>
          <c:showVal val="0"/>
          <c:showCatName val="0"/>
          <c:showSerName val="0"/>
          <c:showPercent val="0"/>
          <c:showBubbleSize val="0"/>
        </c:dLbls>
        <c:gapWidth val="219"/>
        <c:axId val="355392240"/>
        <c:axId val="355389328"/>
      </c:barChart>
      <c:lineChart>
        <c:grouping val="stacked"/>
        <c:varyColors val="0"/>
        <c:ser>
          <c:idx val="2"/>
          <c:order val="2"/>
          <c:tx>
            <c:strRef>
              <c:f>'nr. unități'!$B$7</c:f>
              <c:strCache>
                <c:ptCount val="1"/>
                <c:pt idx="0">
                  <c:v>Număr de unități personal, BS+BL, mii</c:v>
                </c:pt>
              </c:strCache>
            </c:strRef>
          </c:tx>
          <c:spPr>
            <a:ln w="19050" cap="rnd">
              <a:solidFill>
                <a:schemeClr val="accent1">
                  <a:lumMod val="75000"/>
                </a:schemeClr>
              </a:solidFill>
              <a:round/>
            </a:ln>
            <a:effectLst/>
          </c:spPr>
          <c:marker>
            <c:symbol val="circle"/>
            <c:size val="6"/>
            <c:spPr>
              <a:solidFill>
                <a:schemeClr val="accent1">
                  <a:lumMod val="75000"/>
                </a:schemeClr>
              </a:solidFill>
              <a:ln w="19050">
                <a:solidFill>
                  <a:schemeClr val="accent1">
                    <a:lumMod val="75000"/>
                  </a:schemeClr>
                </a:solidFill>
                <a:round/>
              </a:ln>
              <a:effectLst/>
            </c:spPr>
          </c:marker>
          <c:dPt>
            <c:idx val="1"/>
            <c:marker>
              <c:symbol val="circle"/>
              <c:size val="6"/>
              <c:spPr>
                <a:solidFill>
                  <a:schemeClr val="accent1">
                    <a:lumMod val="50000"/>
                  </a:schemeClr>
                </a:solidFill>
                <a:ln w="19050">
                  <a:solidFill>
                    <a:schemeClr val="accent1">
                      <a:lumMod val="75000"/>
                    </a:schemeClr>
                  </a:solidFill>
                  <a:round/>
                </a:ln>
                <a:effectLst/>
              </c:spPr>
            </c:marker>
            <c:bubble3D val="0"/>
            <c:extLst>
              <c:ext xmlns:c16="http://schemas.microsoft.com/office/drawing/2014/chart" uri="{C3380CC4-5D6E-409C-BE32-E72D297353CC}">
                <c16:uniqueId val="{0000000C-3F33-4906-BA2F-4D5140B794D3}"/>
              </c:ext>
            </c:extLst>
          </c:dPt>
          <c:dLbls>
            <c:dLbl>
              <c:idx val="0"/>
              <c:layout>
                <c:manualLayout>
                  <c:x val="-7.4070910088741157E-2"/>
                  <c:y val="-2.58766109292518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F33-4906-BA2F-4D5140B794D3}"/>
                </c:ext>
              </c:extLst>
            </c:dLbl>
            <c:dLbl>
              <c:idx val="1"/>
              <c:layout>
                <c:manualLayout>
                  <c:x val="-9.7874147018317745E-2"/>
                  <c:y val="3.04733256657524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F33-4906-BA2F-4D5140B794D3}"/>
                </c:ext>
              </c:extLst>
            </c:dLbl>
            <c:dLbl>
              <c:idx val="2"/>
              <c:layout>
                <c:manualLayout>
                  <c:x val="-3.1796309336865267E-2"/>
                  <c:y val="-4.06027898198118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F33-4906-BA2F-4D5140B794D3}"/>
                </c:ext>
              </c:extLst>
            </c:dLbl>
            <c:dLbl>
              <c:idx val="3"/>
              <c:layout>
                <c:manualLayout>
                  <c:x val="-4.6580564941800795E-2"/>
                  <c:y val="-3.6857471467751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F33-4906-BA2F-4D5140B794D3}"/>
                </c:ext>
              </c:extLst>
            </c:dLbl>
            <c:dLbl>
              <c:idx val="4"/>
              <c:layout>
                <c:manualLayout>
                  <c:x val="-2.9772526712665261E-2"/>
                  <c:y val="-3.38355598808576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F33-4906-BA2F-4D5140B794D3}"/>
                </c:ext>
              </c:extLst>
            </c:dLbl>
            <c:spPr>
              <a:noFill/>
              <a:ln>
                <a:noFill/>
              </a:ln>
              <a:effectLst/>
            </c:spPr>
            <c:txPr>
              <a:bodyPr rot="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'nr. unități'!$C$4:$G$4</c:f>
              <c:numCache>
                <c:formatCode>General</c:formatCode>
                <c:ptCount val="5"/>
                <c:pt idx="0">
                  <c:v>2024</c:v>
                </c:pt>
                <c:pt idx="1">
                  <c:v>2025</c:v>
                </c:pt>
                <c:pt idx="2">
                  <c:v>2026</c:v>
                </c:pt>
                <c:pt idx="3">
                  <c:v>2027</c:v>
                </c:pt>
                <c:pt idx="4">
                  <c:v>2028</c:v>
                </c:pt>
              </c:numCache>
            </c:numRef>
          </c:cat>
          <c:val>
            <c:numRef>
              <c:f>'nr. unități'!$C$7:$G$7</c:f>
              <c:numCache>
                <c:formatCode>#,##0.0</c:formatCode>
                <c:ptCount val="5"/>
                <c:pt idx="0">
                  <c:v>174.84100000000001</c:v>
                </c:pt>
                <c:pt idx="1">
                  <c:v>172.589</c:v>
                </c:pt>
                <c:pt idx="2">
                  <c:v>169.99199999999999</c:v>
                </c:pt>
                <c:pt idx="3">
                  <c:v>169.99199999999999</c:v>
                </c:pt>
                <c:pt idx="4">
                  <c:v>169.99199999999999</c:v>
                </c:pt>
              </c:numCache>
            </c:numRef>
          </c:val>
          <c:smooth val="0"/>
          <c:extLst>
            <c:ext xmlns:c16="http://schemas.microsoft.com/office/drawing/2014/chart" uri="{C3380CC4-5D6E-409C-BE32-E72D297353CC}">
              <c16:uniqueId val="{00000011-3F33-4906-BA2F-4D5140B794D3}"/>
            </c:ext>
          </c:extLst>
        </c:ser>
        <c:dLbls>
          <c:showLegendKey val="0"/>
          <c:showVal val="0"/>
          <c:showCatName val="0"/>
          <c:showSerName val="0"/>
          <c:showPercent val="0"/>
          <c:showBubbleSize val="0"/>
        </c:dLbls>
        <c:marker val="1"/>
        <c:smooth val="0"/>
        <c:axId val="355390576"/>
        <c:axId val="355391824"/>
      </c:lineChart>
      <c:valAx>
        <c:axId val="355389328"/>
        <c:scaling>
          <c:orientation val="minMax"/>
        </c:scaling>
        <c:delete val="0"/>
        <c:axPos val="l"/>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crossAx val="355392240"/>
        <c:crosses val="autoZero"/>
        <c:crossBetween val="between"/>
      </c:valAx>
      <c:catAx>
        <c:axId val="35539224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crossAx val="355389328"/>
        <c:crosses val="autoZero"/>
        <c:auto val="1"/>
        <c:lblAlgn val="ctr"/>
        <c:lblOffset val="100"/>
        <c:noMultiLvlLbl val="0"/>
      </c:catAx>
      <c:valAx>
        <c:axId val="355391824"/>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crossAx val="355390576"/>
        <c:crosses val="max"/>
        <c:crossBetween val="between"/>
      </c:valAx>
      <c:catAx>
        <c:axId val="355390576"/>
        <c:scaling>
          <c:orientation val="minMax"/>
        </c:scaling>
        <c:delete val="1"/>
        <c:axPos val="b"/>
        <c:numFmt formatCode="General" sourceLinked="1"/>
        <c:majorTickMark val="none"/>
        <c:minorTickMark val="none"/>
        <c:tickLblPos val="nextTo"/>
        <c:crossAx val="355391824"/>
        <c:crosses val="autoZero"/>
        <c:auto val="1"/>
        <c:lblAlgn val="ctr"/>
        <c:lblOffset val="100"/>
        <c:noMultiLvlLbl val="0"/>
      </c:catAx>
      <c:spPr>
        <a:noFill/>
        <a:ln>
          <a:noFill/>
        </a:ln>
        <a:effectLst/>
      </c:spPr>
    </c:plotArea>
    <c:legend>
      <c:legendPos val="b"/>
      <c:layout>
        <c:manualLayout>
          <c:xMode val="edge"/>
          <c:yMode val="edge"/>
          <c:x val="7.2229028417232582E-2"/>
          <c:y val="0.87712464513364397"/>
          <c:w val="0.91366155434829721"/>
          <c:h val="0.12287535486635598"/>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700"/>
      </a:pPr>
      <a:endParaRPr lang="ro-RO"/>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2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ro-RO"/>
              <a:t>Figura 1:Evoluția deficitului bugetar și a deficitului ajustat ciclic pe anii 2020-2028</a:t>
            </a:r>
            <a:endParaRPr lang="en-US"/>
          </a:p>
        </c:rich>
      </c:tx>
      <c:layout>
        <c:manualLayout>
          <c:xMode val="edge"/>
          <c:yMode val="edge"/>
          <c:x val="0.15148674675051282"/>
          <c:y val="0"/>
        </c:manualLayout>
      </c:layout>
      <c:overlay val="0"/>
      <c:spPr>
        <a:noFill/>
        <a:ln>
          <a:noFill/>
        </a:ln>
        <a:effectLst/>
      </c:spPr>
      <c:txPr>
        <a:bodyPr rot="0" spcFirstLastPara="1" vertOverflow="ellipsis" vert="horz" wrap="square" anchor="ctr" anchorCtr="1"/>
        <a:lstStyle/>
        <a:p>
          <a:pPr>
            <a:defRPr sz="72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ro-RO"/>
        </a:p>
      </c:txPr>
    </c:title>
    <c:autoTitleDeleted val="0"/>
    <c:plotArea>
      <c:layout>
        <c:manualLayout>
          <c:layoutTarget val="inner"/>
          <c:xMode val="edge"/>
          <c:yMode val="edge"/>
          <c:x val="0.10968907043616136"/>
          <c:y val="0.1237519705727798"/>
          <c:w val="0.84025404674245074"/>
          <c:h val="0.66260111469250793"/>
        </c:manualLayout>
      </c:layout>
      <c:lineChart>
        <c:grouping val="standard"/>
        <c:varyColors val="0"/>
        <c:ser>
          <c:idx val="1"/>
          <c:order val="0"/>
          <c:tx>
            <c:strRef>
              <c:f>'[EU TA PPF_SBB Workshop_Solutions_2025-05-04 Var 2.xlsx]Budget Balance'!$B$1</c:f>
              <c:strCache>
                <c:ptCount val="1"/>
                <c:pt idx="0">
                  <c:v>Deficitul bugetar ( % în PIB)</c:v>
                </c:pt>
              </c:strCache>
            </c:strRef>
          </c:tx>
          <c:spPr>
            <a:ln w="19050" cap="rnd">
              <a:solidFill>
                <a:schemeClr val="accent2"/>
              </a:solidFill>
              <a:round/>
            </a:ln>
            <a:effectLst/>
          </c:spPr>
          <c:marker>
            <c:symbol val="none"/>
          </c:marker>
          <c:dLbls>
            <c:dLbl>
              <c:idx val="0"/>
              <c:layout>
                <c:manualLayout>
                  <c:x val="-6.7121729237770197E-2"/>
                  <c:y val="1.86547556489752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E08-4797-9554-59C328181017}"/>
                </c:ext>
              </c:extLst>
            </c:dLbl>
            <c:dLbl>
              <c:idx val="1"/>
              <c:layout>
                <c:manualLayout>
                  <c:x val="-5.4726368159203981E-2"/>
                  <c:y val="-4.2424242424242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E08-4797-9554-59C328181017}"/>
                </c:ext>
              </c:extLst>
            </c:dLbl>
            <c:dLbl>
              <c:idx val="2"/>
              <c:layout>
                <c:manualLayout>
                  <c:x val="-6.7164179104477653E-2"/>
                  <c:y val="5.54778554778554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E08-4797-9554-59C328181017}"/>
                </c:ext>
              </c:extLst>
            </c:dLbl>
            <c:dLbl>
              <c:idx val="3"/>
              <c:layout>
                <c:manualLayout>
                  <c:x val="-7.2928972615624491E-2"/>
                  <c:y val="4.14918839296426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E08-4797-9554-59C328181017}"/>
                </c:ext>
              </c:extLst>
            </c:dLbl>
            <c:dLbl>
              <c:idx val="4"/>
              <c:layout>
                <c:manualLayout>
                  <c:x val="-5.4726368159203981E-2"/>
                  <c:y val="8.3449883449883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E08-4797-9554-59C328181017}"/>
                </c:ext>
              </c:extLst>
            </c:dLbl>
            <c:dLbl>
              <c:idx val="5"/>
              <c:layout>
                <c:manualLayout>
                  <c:x val="-0.10187131045479383"/>
                  <c:y val="5.14086750716853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E08-4797-9554-59C328181017}"/>
                </c:ext>
              </c:extLst>
            </c:dLbl>
            <c:dLbl>
              <c:idx val="6"/>
              <c:layout>
                <c:manualLayout>
                  <c:x val="-5.0905735759139321E-2"/>
                  <c:y val="5.84423268688890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E08-4797-9554-59C328181017}"/>
                </c:ext>
              </c:extLst>
            </c:dLbl>
            <c:dLbl>
              <c:idx val="7"/>
              <c:layout>
                <c:manualLayout>
                  <c:x val="-8.0773606370875994E-2"/>
                  <c:y val="-7.0677877036258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E08-4797-9554-59C328181017}"/>
                </c:ext>
              </c:extLst>
            </c:dLbl>
            <c:dLbl>
              <c:idx val="8"/>
              <c:layout>
                <c:manualLayout>
                  <c:x val="-5.4644415181890657E-2"/>
                  <c:y val="-4.44035733053075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E08-4797-9554-59C328181017}"/>
                </c:ext>
              </c:extLst>
            </c:dLbl>
            <c:spPr>
              <a:noFill/>
              <a:ln>
                <a:noFill/>
              </a:ln>
              <a:effectLst/>
            </c:spPr>
            <c:txPr>
              <a:bodyPr rot="0" spcFirstLastPara="1" vertOverflow="ellipsis" vert="horz" wrap="square" anchor="ctr" anchorCtr="1"/>
              <a:lstStyle/>
              <a:p>
                <a:pPr>
                  <a:defRPr sz="6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o-R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'[EU TA PPF_SBB Workshop_Solutions_2025-05-04 Var 2.xlsx]Budget Balance'!$A$6:$A$14</c:f>
              <c:numCache>
                <c:formatCode>General</c:formatCode>
                <c:ptCount val="9"/>
                <c:pt idx="0">
                  <c:v>2020</c:v>
                </c:pt>
                <c:pt idx="1">
                  <c:v>2021</c:v>
                </c:pt>
                <c:pt idx="2">
                  <c:v>2022</c:v>
                </c:pt>
                <c:pt idx="3">
                  <c:v>2023</c:v>
                </c:pt>
                <c:pt idx="4">
                  <c:v>2024</c:v>
                </c:pt>
                <c:pt idx="5">
                  <c:v>2025</c:v>
                </c:pt>
                <c:pt idx="6">
                  <c:v>2026</c:v>
                </c:pt>
                <c:pt idx="7">
                  <c:v>2027</c:v>
                </c:pt>
                <c:pt idx="8">
                  <c:v>2028</c:v>
                </c:pt>
              </c:numCache>
            </c:numRef>
          </c:cat>
          <c:val>
            <c:numRef>
              <c:f>'[EU TA PPF_SBB Workshop_Solutions_2025-05-04 Var 2.xlsx]Budget Balance'!$B$6:$B$14</c:f>
              <c:numCache>
                <c:formatCode>0.00</c:formatCode>
                <c:ptCount val="9"/>
                <c:pt idx="0">
                  <c:v>-5.3170000000000002</c:v>
                </c:pt>
                <c:pt idx="1">
                  <c:v>-2.617</c:v>
                </c:pt>
                <c:pt idx="2">
                  <c:v>-3.24</c:v>
                </c:pt>
                <c:pt idx="3">
                  <c:v>-5.13</c:v>
                </c:pt>
                <c:pt idx="4">
                  <c:v>-3.8929999999999998</c:v>
                </c:pt>
                <c:pt idx="5">
                  <c:v>-5.16</c:v>
                </c:pt>
                <c:pt idx="6">
                  <c:v>-5.39</c:v>
                </c:pt>
                <c:pt idx="7">
                  <c:v>-5.33</c:v>
                </c:pt>
                <c:pt idx="8">
                  <c:v>-4.22</c:v>
                </c:pt>
              </c:numCache>
            </c:numRef>
          </c:val>
          <c:smooth val="0"/>
          <c:extLst>
            <c:ext xmlns:c16="http://schemas.microsoft.com/office/drawing/2014/chart" uri="{C3380CC4-5D6E-409C-BE32-E72D297353CC}">
              <c16:uniqueId val="{00000009-2E08-4797-9554-59C328181017}"/>
            </c:ext>
          </c:extLst>
        </c:ser>
        <c:ser>
          <c:idx val="2"/>
          <c:order val="1"/>
          <c:tx>
            <c:strRef>
              <c:f>'[EU TA PPF_SBB Workshop_Solutions_2025-05-04 Var 2.xlsx]Budget Balance'!$C$1</c:f>
              <c:strCache>
                <c:ptCount val="1"/>
                <c:pt idx="0">
                  <c:v>Soldul bugetar ajustat ciclic  (% în PIB)</c:v>
                </c:pt>
              </c:strCache>
            </c:strRef>
          </c:tx>
          <c:spPr>
            <a:ln w="19050" cap="rnd">
              <a:solidFill>
                <a:srgbClr val="1F497D">
                  <a:lumMod val="75000"/>
                  <a:lumOff val="25000"/>
                </a:srgbClr>
              </a:solidFill>
              <a:prstDash val="dash"/>
              <a:round/>
            </a:ln>
            <a:effectLst/>
          </c:spPr>
          <c:marker>
            <c:symbol val="none"/>
          </c:marker>
          <c:dLbls>
            <c:dLbl>
              <c:idx val="1"/>
              <c:layout>
                <c:manualLayout>
                  <c:x val="-4.7263681592039801E-2"/>
                  <c:y val="3.68298368298368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E08-4797-9554-59C328181017}"/>
                </c:ext>
              </c:extLst>
            </c:dLbl>
            <c:dLbl>
              <c:idx val="2"/>
              <c:layout>
                <c:manualLayout>
                  <c:x val="-3.7313432835820892E-2"/>
                  <c:y val="-3.776223776223776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E08-4797-9554-59C328181017}"/>
                </c:ext>
              </c:extLst>
            </c:dLbl>
            <c:dLbl>
              <c:idx val="3"/>
              <c:layout>
                <c:manualLayout>
                  <c:x val="-5.4726368159203981E-2"/>
                  <c:y val="-8.90442890442890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E08-4797-9554-59C328181017}"/>
                </c:ext>
              </c:extLst>
            </c:dLbl>
            <c:dLbl>
              <c:idx val="5"/>
              <c:layout>
                <c:manualLayout>
                  <c:x val="-4.4368600682593941E-2"/>
                  <c:y val="-5.49132947976878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E08-4797-9554-59C328181017}"/>
                </c:ext>
              </c:extLst>
            </c:dLbl>
            <c:dLbl>
              <c:idx val="6"/>
              <c:layout>
                <c:manualLayout>
                  <c:x val="-5.8020477815699661E-2"/>
                  <c:y val="-6.01681555438780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E08-4797-9554-59C328181017}"/>
                </c:ext>
              </c:extLst>
            </c:dLbl>
            <c:dLbl>
              <c:idx val="7"/>
              <c:layout>
                <c:manualLayout>
                  <c:x val="-4.2288570583967108E-2"/>
                  <c:y val="5.72564661682132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E08-4797-9554-59C328181017}"/>
                </c:ext>
              </c:extLst>
            </c:dLbl>
            <c:dLbl>
              <c:idx val="8"/>
              <c:layout>
                <c:manualLayout>
                  <c:x val="-2.047577075253653E-2"/>
                  <c:y val="5.0815850815850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2E08-4797-9554-59C328181017}"/>
                </c:ext>
              </c:extLst>
            </c:dLbl>
            <c:spPr>
              <a:noFill/>
              <a:ln>
                <a:noFill/>
              </a:ln>
              <a:effectLst/>
            </c:spPr>
            <c:txPr>
              <a:bodyPr rot="0" spcFirstLastPara="1" vertOverflow="ellipsis" vert="horz" wrap="square" anchor="ctr" anchorCtr="1"/>
              <a:lstStyle/>
              <a:p>
                <a:pPr>
                  <a:defRPr sz="6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o-R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'[EU TA PPF_SBB Workshop_Solutions_2025-05-04 Var 2.xlsx]Budget Balance'!$A$6:$A$14</c:f>
              <c:numCache>
                <c:formatCode>General</c:formatCode>
                <c:ptCount val="9"/>
                <c:pt idx="0">
                  <c:v>2020</c:v>
                </c:pt>
                <c:pt idx="1">
                  <c:v>2021</c:v>
                </c:pt>
                <c:pt idx="2">
                  <c:v>2022</c:v>
                </c:pt>
                <c:pt idx="3">
                  <c:v>2023</c:v>
                </c:pt>
                <c:pt idx="4">
                  <c:v>2024</c:v>
                </c:pt>
                <c:pt idx="5">
                  <c:v>2025</c:v>
                </c:pt>
                <c:pt idx="6">
                  <c:v>2026</c:v>
                </c:pt>
                <c:pt idx="7">
                  <c:v>2027</c:v>
                </c:pt>
                <c:pt idx="8">
                  <c:v>2028</c:v>
                </c:pt>
              </c:numCache>
            </c:numRef>
          </c:cat>
          <c:val>
            <c:numRef>
              <c:f>'[EU TA PPF_SBB Workshop_Solutions_2025-05-04 Var 2.xlsx]Budget Balance'!$C$6:$C$14</c:f>
              <c:numCache>
                <c:formatCode>0.00</c:formatCode>
                <c:ptCount val="9"/>
                <c:pt idx="0">
                  <c:v>-3.1916430000000005</c:v>
                </c:pt>
                <c:pt idx="1">
                  <c:v>-4.367</c:v>
                </c:pt>
                <c:pt idx="2">
                  <c:v>-2.75</c:v>
                </c:pt>
                <c:pt idx="3">
                  <c:v>-4.6099999999999994</c:v>
                </c:pt>
                <c:pt idx="4">
                  <c:v>-2.9329999999999998</c:v>
                </c:pt>
                <c:pt idx="5">
                  <c:v>-4.43</c:v>
                </c:pt>
                <c:pt idx="6">
                  <c:v>-4.9899999999999993</c:v>
                </c:pt>
                <c:pt idx="7">
                  <c:v>-5.4122633751238736</c:v>
                </c:pt>
                <c:pt idx="8">
                  <c:v>-4.84</c:v>
                </c:pt>
              </c:numCache>
            </c:numRef>
          </c:val>
          <c:smooth val="0"/>
          <c:extLst>
            <c:ext xmlns:c16="http://schemas.microsoft.com/office/drawing/2014/chart" uri="{C3380CC4-5D6E-409C-BE32-E72D297353CC}">
              <c16:uniqueId val="{00000011-2E08-4797-9554-59C328181017}"/>
            </c:ext>
          </c:extLst>
        </c:ser>
        <c:dLbls>
          <c:showLegendKey val="0"/>
          <c:showVal val="0"/>
          <c:showCatName val="0"/>
          <c:showSerName val="0"/>
          <c:showPercent val="0"/>
          <c:showBubbleSize val="0"/>
        </c:dLbls>
        <c:smooth val="0"/>
        <c:axId val="647902591"/>
        <c:axId val="647904511"/>
      </c:lineChart>
      <c:catAx>
        <c:axId val="647902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o-RO"/>
          </a:p>
        </c:txPr>
        <c:crossAx val="647904511"/>
        <c:crosses val="autoZero"/>
        <c:auto val="1"/>
        <c:lblAlgn val="ctr"/>
        <c:lblOffset val="100"/>
        <c:noMultiLvlLbl val="0"/>
      </c:catAx>
      <c:valAx>
        <c:axId val="64790451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o-RO"/>
          </a:p>
        </c:txPr>
        <c:crossAx val="647902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6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o-R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600">
          <a:solidFill>
            <a:schemeClr val="tx1"/>
          </a:solidFill>
          <a:latin typeface="Times New Roman" panose="02020603050405020304" pitchFamily="18" charset="0"/>
          <a:cs typeface="Times New Roman" panose="02020603050405020304" pitchFamily="18" charset="0"/>
        </a:defRPr>
      </a:pPr>
      <a:endParaRPr lang="ro-RO"/>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2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o-RO">
                <a:solidFill>
                  <a:sysClr val="windowText" lastClr="000000"/>
                </a:solidFill>
              </a:rPr>
              <a:t>Figura 2:</a:t>
            </a:r>
            <a:r>
              <a:rPr lang="en-US">
                <a:solidFill>
                  <a:sysClr val="windowText" lastClr="000000"/>
                </a:solidFill>
              </a:rPr>
              <a:t>Evoluția deficitului </a:t>
            </a:r>
            <a:r>
              <a:rPr lang="ro-RO">
                <a:solidFill>
                  <a:sysClr val="windowText" lastClr="000000"/>
                </a:solidFill>
              </a:rPr>
              <a:t>bugetar și </a:t>
            </a:r>
            <a:r>
              <a:rPr lang="en-US">
                <a:solidFill>
                  <a:sysClr val="windowText" lastClr="000000"/>
                </a:solidFill>
              </a:rPr>
              <a:t>structural pe anii 2020-2028</a:t>
            </a:r>
          </a:p>
        </c:rich>
      </c:tx>
      <c:layout>
        <c:manualLayout>
          <c:xMode val="edge"/>
          <c:yMode val="edge"/>
          <c:x val="0.11739467720118603"/>
          <c:y val="1.5710919088766692E-2"/>
        </c:manualLayout>
      </c:layout>
      <c:overlay val="0"/>
      <c:spPr>
        <a:noFill/>
        <a:ln>
          <a:noFill/>
        </a:ln>
        <a:effectLst/>
      </c:spPr>
      <c:txPr>
        <a:bodyPr rot="0" spcFirstLastPara="1" vertOverflow="ellipsis" vert="horz" wrap="square" anchor="ctr" anchorCtr="1"/>
        <a:lstStyle/>
        <a:p>
          <a:pPr>
            <a:defRPr sz="72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o-RO"/>
        </a:p>
      </c:txPr>
    </c:title>
    <c:autoTitleDeleted val="0"/>
    <c:plotArea>
      <c:layout>
        <c:manualLayout>
          <c:layoutTarget val="inner"/>
          <c:xMode val="edge"/>
          <c:yMode val="edge"/>
          <c:x val="7.8845748597972026E-2"/>
          <c:y val="0.14061520000494834"/>
          <c:w val="0.90005113389603275"/>
          <c:h val="0.75273734930816283"/>
        </c:manualLayout>
      </c:layout>
      <c:lineChart>
        <c:grouping val="standard"/>
        <c:varyColors val="0"/>
        <c:ser>
          <c:idx val="1"/>
          <c:order val="0"/>
          <c:tx>
            <c:strRef>
              <c:f>'[EU TA PPF_SBB Workshop_Solutions_2025-05-04 Var 2.xlsx]Budget Balance'!$B$1</c:f>
              <c:strCache>
                <c:ptCount val="1"/>
                <c:pt idx="0">
                  <c:v>Deficitul bugetar ( % în PIB)</c:v>
                </c:pt>
              </c:strCache>
            </c:strRef>
          </c:tx>
          <c:spPr>
            <a:ln w="19050" cap="rnd">
              <a:solidFill>
                <a:schemeClr val="accent2"/>
              </a:solidFill>
              <a:round/>
            </a:ln>
            <a:effectLst/>
          </c:spPr>
          <c:marker>
            <c:symbol val="none"/>
          </c:marker>
          <c:dLbls>
            <c:dLbl>
              <c:idx val="0"/>
              <c:layout>
                <c:manualLayout>
                  <c:x val="-5.5635519962735032E-2"/>
                  <c:y val="2.62776461661853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CDD-4AA8-BFFF-DF61C52A5C41}"/>
                </c:ext>
              </c:extLst>
            </c:dLbl>
            <c:dLbl>
              <c:idx val="1"/>
              <c:layout>
                <c:manualLayout>
                  <c:x val="-7.5265557675597741E-2"/>
                  <c:y val="-2.3277314216320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CDD-4AA8-BFFF-DF61C52A5C41}"/>
                </c:ext>
              </c:extLst>
            </c:dLbl>
            <c:dLbl>
              <c:idx val="2"/>
              <c:layout>
                <c:manualLayout>
                  <c:x val="-4.2429030842134535E-2"/>
                  <c:y val="-2.73068969285359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CDD-4AA8-BFFF-DF61C52A5C41}"/>
                </c:ext>
              </c:extLst>
            </c:dLbl>
            <c:dLbl>
              <c:idx val="3"/>
              <c:layout>
                <c:manualLayout>
                  <c:x val="-5.7999337113577527E-2"/>
                  <c:y val="-6.03361147020802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CDD-4AA8-BFFF-DF61C52A5C41}"/>
                </c:ext>
              </c:extLst>
            </c:dLbl>
            <c:dLbl>
              <c:idx val="4"/>
              <c:layout>
                <c:manualLayout>
                  <c:x val="-4.0287769784172658E-2"/>
                  <c:y val="-2.28773964878363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CDD-4AA8-BFFF-DF61C52A5C41}"/>
                </c:ext>
              </c:extLst>
            </c:dLbl>
            <c:dLbl>
              <c:idx val="5"/>
              <c:layout>
                <c:manualLayout>
                  <c:x val="-7.4283410819381362E-2"/>
                  <c:y val="2.82850150408339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CDD-4AA8-BFFF-DF61C52A5C41}"/>
                </c:ext>
              </c:extLst>
            </c:dLbl>
            <c:dLbl>
              <c:idx val="6"/>
              <c:layout>
                <c:manualLayout>
                  <c:x val="-2.1325593686454807E-2"/>
                  <c:y val="3.71396230616498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CDD-4AA8-BFFF-DF61C52A5C41}"/>
                </c:ext>
              </c:extLst>
            </c:dLbl>
            <c:dLbl>
              <c:idx val="7"/>
              <c:layout>
                <c:manualLayout>
                  <c:x val="-7.730509795490581E-2"/>
                  <c:y val="-4.86642626073940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CDD-4AA8-BFFF-DF61C52A5C41}"/>
                </c:ext>
              </c:extLst>
            </c:dLbl>
            <c:dLbl>
              <c:idx val="8"/>
              <c:layout>
                <c:manualLayout>
                  <c:x val="-3.8124568899877274E-2"/>
                  <c:y val="-5.3495060957129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CDD-4AA8-BFFF-DF61C52A5C41}"/>
                </c:ext>
              </c:extLst>
            </c:dLbl>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o-R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'[EU TA PPF_SBB Workshop_Solutions_2025-05-04 Var 2.xlsx]Budget Balance'!$A$6:$A$14</c:f>
              <c:numCache>
                <c:formatCode>General</c:formatCode>
                <c:ptCount val="9"/>
                <c:pt idx="0">
                  <c:v>2020</c:v>
                </c:pt>
                <c:pt idx="1">
                  <c:v>2021</c:v>
                </c:pt>
                <c:pt idx="2">
                  <c:v>2022</c:v>
                </c:pt>
                <c:pt idx="3">
                  <c:v>2023</c:v>
                </c:pt>
                <c:pt idx="4">
                  <c:v>2024</c:v>
                </c:pt>
                <c:pt idx="5">
                  <c:v>2025</c:v>
                </c:pt>
                <c:pt idx="6">
                  <c:v>2026</c:v>
                </c:pt>
                <c:pt idx="7">
                  <c:v>2027</c:v>
                </c:pt>
                <c:pt idx="8">
                  <c:v>2028</c:v>
                </c:pt>
              </c:numCache>
            </c:numRef>
          </c:cat>
          <c:val>
            <c:numRef>
              <c:f>'[EU TA PPF_SBB Workshop_Solutions_2025-05-04 Var 2.xlsx]Budget Balance'!$B$6:$B$14</c:f>
              <c:numCache>
                <c:formatCode>0.00</c:formatCode>
                <c:ptCount val="9"/>
                <c:pt idx="0">
                  <c:v>-5.3170000000000002</c:v>
                </c:pt>
                <c:pt idx="1">
                  <c:v>-2.617</c:v>
                </c:pt>
                <c:pt idx="2">
                  <c:v>-3.24</c:v>
                </c:pt>
                <c:pt idx="3">
                  <c:v>-5.13</c:v>
                </c:pt>
                <c:pt idx="4">
                  <c:v>-3.8929999999999998</c:v>
                </c:pt>
                <c:pt idx="5">
                  <c:v>-5.16</c:v>
                </c:pt>
                <c:pt idx="6">
                  <c:v>-5.39</c:v>
                </c:pt>
                <c:pt idx="7">
                  <c:v>-5.33</c:v>
                </c:pt>
                <c:pt idx="8">
                  <c:v>-4.22</c:v>
                </c:pt>
              </c:numCache>
            </c:numRef>
          </c:val>
          <c:smooth val="0"/>
          <c:extLst>
            <c:ext xmlns:c16="http://schemas.microsoft.com/office/drawing/2014/chart" uri="{C3380CC4-5D6E-409C-BE32-E72D297353CC}">
              <c16:uniqueId val="{00000009-BCDD-4AA8-BFFF-DF61C52A5C41}"/>
            </c:ext>
          </c:extLst>
        </c:ser>
        <c:ser>
          <c:idx val="0"/>
          <c:order val="1"/>
          <c:tx>
            <c:strRef>
              <c:f>'[EU TA PPF_SBB Workshop_Solutions_2025-05-04 Var 2.xlsx]Budget Balance'!$H$1</c:f>
              <c:strCache>
                <c:ptCount val="1"/>
                <c:pt idx="0">
                  <c:v>Deficitul structural (% în PIB)</c:v>
                </c:pt>
              </c:strCache>
            </c:strRef>
          </c:tx>
          <c:spPr>
            <a:ln w="19050" cap="rnd">
              <a:solidFill>
                <a:schemeClr val="accent1"/>
              </a:solidFill>
              <a:prstDash val="sysDash"/>
              <a:round/>
            </a:ln>
            <a:effectLst/>
          </c:spPr>
          <c:marker>
            <c:symbol val="none"/>
          </c:marker>
          <c:dLbls>
            <c:dLbl>
              <c:idx val="0"/>
              <c:layout>
                <c:manualLayout>
                  <c:x val="-6.7121729237770197E-2"/>
                  <c:y val="-3.9015449070437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CDD-4AA8-BFFF-DF61C52A5C41}"/>
                </c:ext>
              </c:extLst>
            </c:dLbl>
            <c:dLbl>
              <c:idx val="1"/>
              <c:layout>
                <c:manualLayout>
                  <c:x val="-3.2450914858664248E-2"/>
                  <c:y val="2.65828902851619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CDD-4AA8-BFFF-DF61C52A5C41}"/>
                </c:ext>
              </c:extLst>
            </c:dLbl>
            <c:dLbl>
              <c:idx val="2"/>
              <c:layout>
                <c:manualLayout>
                  <c:x val="-6.2571103526734964E-2"/>
                  <c:y val="-3.37784760408483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BCDD-4AA8-BFFF-DF61C52A5C41}"/>
                </c:ext>
              </c:extLst>
            </c:dLbl>
            <c:dLbl>
              <c:idx val="3"/>
              <c:layout>
                <c:manualLayout>
                  <c:x val="-4.4569974828231877E-2"/>
                  <c:y val="-7.41811044240052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CDD-4AA8-BFFF-DF61C52A5C41}"/>
                </c:ext>
              </c:extLst>
            </c:dLbl>
            <c:dLbl>
              <c:idx val="4"/>
              <c:layout>
                <c:manualLayout>
                  <c:x val="-5.2243691381580797E-2"/>
                  <c:y val="-5.91287243847073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CDD-4AA8-BFFF-DF61C52A5C41}"/>
                </c:ext>
              </c:extLst>
            </c:dLbl>
            <c:dLbl>
              <c:idx val="5"/>
              <c:layout>
                <c:manualLayout>
                  <c:x val="1.1587971298809491E-3"/>
                  <c:y val="-3.37512602754978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CDD-4AA8-BFFF-DF61C52A5C41}"/>
                </c:ext>
              </c:extLst>
            </c:dLbl>
            <c:dLbl>
              <c:idx val="6"/>
              <c:layout>
                <c:manualLayout>
                  <c:x val="-4.4368600682593941E-2"/>
                  <c:y val="-5.9963341188792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CDD-4AA8-BFFF-DF61C52A5C41}"/>
                </c:ext>
              </c:extLst>
            </c:dLbl>
            <c:dLbl>
              <c:idx val="7"/>
              <c:layout>
                <c:manualLayout>
                  <c:x val="-2.4164593432335617E-2"/>
                  <c:y val="3.6584278928880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CDD-4AA8-BFFF-DF61C52A5C41}"/>
                </c:ext>
              </c:extLst>
            </c:dLbl>
            <c:dLbl>
              <c:idx val="8"/>
              <c:layout>
                <c:manualLayout>
                  <c:x val="-2.2185162106535244E-2"/>
                  <c:y val="4.95640676494385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BCDD-4AA8-BFFF-DF61C52A5C41}"/>
                </c:ext>
              </c:extLst>
            </c:dLbl>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o-R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'[EU TA PPF_SBB Workshop_Solutions_2025-05-04 Var 2.xlsx]Budget Balance'!$A$6:$A$14</c:f>
              <c:numCache>
                <c:formatCode>General</c:formatCode>
                <c:ptCount val="9"/>
                <c:pt idx="0">
                  <c:v>2020</c:v>
                </c:pt>
                <c:pt idx="1">
                  <c:v>2021</c:v>
                </c:pt>
                <c:pt idx="2">
                  <c:v>2022</c:v>
                </c:pt>
                <c:pt idx="3">
                  <c:v>2023</c:v>
                </c:pt>
                <c:pt idx="4">
                  <c:v>2024</c:v>
                </c:pt>
                <c:pt idx="5">
                  <c:v>2025</c:v>
                </c:pt>
                <c:pt idx="6">
                  <c:v>2026</c:v>
                </c:pt>
                <c:pt idx="7">
                  <c:v>2027</c:v>
                </c:pt>
                <c:pt idx="8">
                  <c:v>2028</c:v>
                </c:pt>
              </c:numCache>
            </c:numRef>
          </c:cat>
          <c:val>
            <c:numRef>
              <c:f>'[EU TA PPF_SBB Workshop_Solutions_2025-05-04 Var 2.xlsx]Budget Balance'!$H$6:$H$14</c:f>
              <c:numCache>
                <c:formatCode>0.00</c:formatCode>
                <c:ptCount val="9"/>
                <c:pt idx="0">
                  <c:v>-0.69164300000000045</c:v>
                </c:pt>
                <c:pt idx="1">
                  <c:v>-3.5670000000000002</c:v>
                </c:pt>
                <c:pt idx="2">
                  <c:v>0.54999999999999982</c:v>
                </c:pt>
                <c:pt idx="3">
                  <c:v>-3.3099999999999996</c:v>
                </c:pt>
                <c:pt idx="4">
                  <c:v>-2.133</c:v>
                </c:pt>
                <c:pt idx="5">
                  <c:v>-3.63</c:v>
                </c:pt>
                <c:pt idx="6">
                  <c:v>-4.9899999999999993</c:v>
                </c:pt>
                <c:pt idx="7">
                  <c:v>-5.4122633751238736</c:v>
                </c:pt>
                <c:pt idx="8">
                  <c:v>-4.84</c:v>
                </c:pt>
              </c:numCache>
            </c:numRef>
          </c:val>
          <c:smooth val="0"/>
          <c:extLst>
            <c:ext xmlns:c16="http://schemas.microsoft.com/office/drawing/2014/chart" uri="{C3380CC4-5D6E-409C-BE32-E72D297353CC}">
              <c16:uniqueId val="{00000010-BCDD-4AA8-BFFF-DF61C52A5C41}"/>
            </c:ext>
          </c:extLst>
        </c:ser>
        <c:dLbls>
          <c:showLegendKey val="0"/>
          <c:showVal val="0"/>
          <c:showCatName val="0"/>
          <c:showSerName val="0"/>
          <c:showPercent val="0"/>
          <c:showBubbleSize val="0"/>
        </c:dLbls>
        <c:smooth val="0"/>
        <c:axId val="1860743855"/>
        <c:axId val="1860748175"/>
      </c:lineChart>
      <c:catAx>
        <c:axId val="18607438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o-RO"/>
          </a:p>
        </c:txPr>
        <c:crossAx val="1860748175"/>
        <c:crossesAt val="2"/>
        <c:auto val="1"/>
        <c:lblAlgn val="ctr"/>
        <c:lblOffset val="100"/>
        <c:noMultiLvlLbl val="0"/>
      </c:catAx>
      <c:valAx>
        <c:axId val="1860748175"/>
        <c:scaling>
          <c:orientation val="minMax"/>
          <c:max val="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o-RO"/>
          </a:p>
        </c:txPr>
        <c:crossAx val="1860743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o-R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600">
          <a:latin typeface="Times New Roman" panose="02020603050405020304" pitchFamily="18" charset="0"/>
          <a:cs typeface="Times New Roman" panose="02020603050405020304" pitchFamily="18" charset="0"/>
        </a:defRPr>
      </a:pPr>
      <a:endParaRPr lang="ro-RO"/>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2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dk1">
            <a:lumMod val="75000"/>
            <a:lumOff val="25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dk1">
            <a:lumMod val="75000"/>
            <a:lumOff val="25000"/>
          </a:schemeClr>
        </a:solidFill>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0.62382</cdr:x>
      <cdr:y>0.07391</cdr:y>
    </cdr:from>
    <cdr:to>
      <cdr:x>0.62382</cdr:x>
      <cdr:y>0.80159</cdr:y>
    </cdr:to>
    <cdr:cxnSp macro="">
      <cdr:nvCxnSpPr>
        <cdr:cNvPr id="2" name="Straight Connector 6">
          <a:extLst xmlns:a="http://schemas.openxmlformats.org/drawingml/2006/main">
            <a:ext uri="{FF2B5EF4-FFF2-40B4-BE49-F238E27FC236}">
              <a16:creationId xmlns:a16="http://schemas.microsoft.com/office/drawing/2014/main" id="{3556011C-B51D-4273-AD69-BBB84B94A45C}"/>
            </a:ext>
          </a:extLst>
        </cdr:cNvPr>
        <cdr:cNvCxnSpPr>
          <a:cxnSpLocks xmlns:a="http://schemas.openxmlformats.org/drawingml/2006/main"/>
        </cdr:cNvCxnSpPr>
      </cdr:nvCxnSpPr>
      <cdr:spPr>
        <a:xfrm xmlns:a="http://schemas.openxmlformats.org/drawingml/2006/main">
          <a:off x="1769086" y="174726"/>
          <a:ext cx="0" cy="1720317"/>
        </a:xfrm>
        <a:prstGeom xmlns:a="http://schemas.openxmlformats.org/drawingml/2006/main" prst="line">
          <a:avLst/>
        </a:prstGeom>
        <a:ln xmlns:a="http://schemas.openxmlformats.org/drawingml/2006/main" w="15875">
          <a:solidFill>
            <a:schemeClr val="tx2">
              <a:lumMod val="40000"/>
              <a:lumOff val="60000"/>
            </a:schemeClr>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0.71928</cdr:x>
      <cdr:y>0.06064</cdr:y>
    </cdr:from>
    <cdr:to>
      <cdr:x>0.92038</cdr:x>
      <cdr:y>0.15661</cdr:y>
    </cdr:to>
    <cdr:sp macro="" textlink="">
      <cdr:nvSpPr>
        <cdr:cNvPr id="5" name="TextBox 1">
          <a:extLst xmlns:a="http://schemas.openxmlformats.org/drawingml/2006/main">
            <a:ext uri="{FF2B5EF4-FFF2-40B4-BE49-F238E27FC236}">
              <a16:creationId xmlns:a16="http://schemas.microsoft.com/office/drawing/2014/main" id="{37ACF4B1-1310-46B9-BD47-938CBA7C9AB8}"/>
            </a:ext>
          </a:extLst>
        </cdr:cNvPr>
        <cdr:cNvSpPr txBox="1"/>
      </cdr:nvSpPr>
      <cdr:spPr>
        <a:xfrm xmlns:a="http://schemas.openxmlformats.org/drawingml/2006/main">
          <a:off x="2039825" y="143367"/>
          <a:ext cx="570301" cy="22688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700" dirty="0" err="1">
              <a:solidFill>
                <a:schemeClr val="bg2">
                  <a:lumMod val="25000"/>
                </a:schemeClr>
              </a:solidFill>
            </a:rPr>
            <a:t>Prognoz</a:t>
          </a:r>
          <a:r>
            <a:rPr lang="ro-RO" sz="700" dirty="0">
              <a:solidFill>
                <a:schemeClr val="bg2">
                  <a:lumMod val="25000"/>
                </a:schemeClr>
              </a:solidFill>
            </a:rPr>
            <a:t>ă</a:t>
          </a:r>
          <a:endParaRPr lang="en-US" sz="700" dirty="0">
            <a:solidFill>
              <a:schemeClr val="bg2">
                <a:lumMod val="25000"/>
              </a:schemeClr>
            </a:solidFill>
          </a:endParaRPr>
        </a:p>
      </cdr:txBody>
    </cdr:sp>
  </cdr:relSizeAnchor>
</c:userShape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B3733-9ECF-4181-B00C-CBC01A9C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46</Pages>
  <Words>20703</Words>
  <Characters>120083</Characters>
  <Application>Microsoft Office Word</Application>
  <DocSecurity>0</DocSecurity>
  <Lines>1000</Lines>
  <Paragraphs>281</Paragraphs>
  <ScaleCrop>false</ScaleCrop>
  <HeadingPairs>
    <vt:vector size="6" baseType="variant">
      <vt:variant>
        <vt:lpstr>Titlu</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Cancelaria Guvernului</Company>
  <LinksUpToDate>false</LinksUpToDate>
  <CharactersWithSpaces>140505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lll</dc:creator>
  <cp:lastModifiedBy>Sirbu, Vera</cp:lastModifiedBy>
  <cp:revision>760</cp:revision>
  <cp:lastPrinted>2025-08-20T05:36:00Z</cp:lastPrinted>
  <dcterms:created xsi:type="dcterms:W3CDTF">2025-08-15T05:37:00Z</dcterms:created>
  <dcterms:modified xsi:type="dcterms:W3CDTF">2025-08-21T07:19:00Z</dcterms:modified>
</cp:coreProperties>
</file>